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0A87" w:rsidRPr="007A0A87" w:rsidRDefault="007A0A87" w:rsidP="007A0A87">
      <w:pPr>
        <w:spacing w:line="480" w:lineRule="auto"/>
        <w:jc w:val="both"/>
        <w:rPr>
          <w:rFonts w:cstheme="minorHAnsi"/>
          <w:b/>
          <w:lang w:val="en-GB"/>
        </w:rPr>
      </w:pPr>
      <w:r w:rsidRPr="007A0A87">
        <w:rPr>
          <w:rFonts w:cstheme="minorHAnsi"/>
          <w:b/>
          <w:lang w:val="en-GB"/>
        </w:rPr>
        <w:t>Foraging, fear and behavioural plasticity, a lesson from hummingbirds</w:t>
      </w:r>
    </w:p>
    <w:p w:rsidR="007A0A87" w:rsidRPr="007A0A87" w:rsidRDefault="007A0A87" w:rsidP="007A0A87">
      <w:pPr>
        <w:spacing w:line="480" w:lineRule="auto"/>
        <w:jc w:val="both"/>
        <w:rPr>
          <w:rFonts w:cstheme="minorHAnsi"/>
          <w:lang w:val="en-GB"/>
        </w:rPr>
      </w:pPr>
      <w:r w:rsidRPr="007A0A87">
        <w:rPr>
          <w:rFonts w:cstheme="minorHAnsi"/>
          <w:lang w:val="en-GB"/>
        </w:rPr>
        <w:t>Katarzyna Wojczulanis-Jakubas</w:t>
      </w:r>
      <w:r w:rsidRPr="007A0A87">
        <w:rPr>
          <w:rFonts w:cstheme="minorHAnsi"/>
          <w:vertAlign w:val="superscript"/>
          <w:lang w:val="en-GB"/>
        </w:rPr>
        <w:t>1</w:t>
      </w:r>
      <w:r w:rsidRPr="007A0A87">
        <w:rPr>
          <w:rFonts w:cstheme="minorHAnsi"/>
          <w:lang w:val="en-GB"/>
        </w:rPr>
        <w:t>, Marcelo Araya-Salas</w:t>
      </w:r>
      <w:r w:rsidRPr="007A0A87">
        <w:rPr>
          <w:rFonts w:cstheme="minorHAnsi"/>
          <w:vertAlign w:val="superscript"/>
          <w:lang w:val="en-GB"/>
        </w:rPr>
        <w:t>2,3</w:t>
      </w:r>
    </w:p>
    <w:p w:rsidR="007A0A87" w:rsidRPr="007A0A87" w:rsidRDefault="007A0A87" w:rsidP="007A0A87">
      <w:pPr>
        <w:spacing w:line="480" w:lineRule="auto"/>
        <w:jc w:val="both"/>
        <w:rPr>
          <w:rFonts w:cstheme="minorHAnsi"/>
          <w:lang w:val="en-GB"/>
        </w:rPr>
      </w:pPr>
      <w:r w:rsidRPr="007A0A87">
        <w:rPr>
          <w:rFonts w:cstheme="minorHAnsi"/>
          <w:vertAlign w:val="superscript"/>
          <w:lang w:val="en-GB"/>
        </w:rPr>
        <w:t>1</w:t>
      </w:r>
      <w:r w:rsidRPr="007A0A87">
        <w:rPr>
          <w:rFonts w:cstheme="minorHAnsi"/>
          <w:lang w:val="en-GB"/>
        </w:rPr>
        <w:t>Department of Vertebrate Ecology and Zoology, University of Gdansk, Gdansk, Poland; katarzyna.wojczulanis-jakubas@ug.edu.pl</w:t>
      </w:r>
    </w:p>
    <w:p w:rsidR="007A0A87" w:rsidRPr="007A0A87" w:rsidRDefault="007A0A87" w:rsidP="007A0A87">
      <w:pPr>
        <w:spacing w:line="480" w:lineRule="auto"/>
        <w:jc w:val="both"/>
        <w:rPr>
          <w:rFonts w:cstheme="minorHAnsi"/>
          <w:lang w:val="es-EC"/>
        </w:rPr>
      </w:pPr>
      <w:r w:rsidRPr="007A0A87">
        <w:rPr>
          <w:rFonts w:cstheme="minorHAnsi"/>
          <w:vertAlign w:val="superscript"/>
          <w:lang w:val="es-EC"/>
        </w:rPr>
        <w:t>2</w:t>
      </w:r>
      <w:r w:rsidRPr="007A0A87">
        <w:rPr>
          <w:rFonts w:cstheme="minorHAnsi"/>
          <w:lang w:val="es-EC"/>
        </w:rPr>
        <w:t xml:space="preserve"> Recinto de Golfito, Universidad de Costa Rica, Golfito, Costa Rica</w:t>
      </w:r>
    </w:p>
    <w:p w:rsidR="007A0A87" w:rsidRPr="007A0A87" w:rsidRDefault="007A0A87" w:rsidP="007A0A87">
      <w:pPr>
        <w:spacing w:line="480" w:lineRule="auto"/>
        <w:jc w:val="both"/>
        <w:rPr>
          <w:rFonts w:cstheme="minorHAnsi"/>
          <w:lang w:val="es-ES"/>
        </w:rPr>
      </w:pPr>
      <w:r w:rsidRPr="007A0A87">
        <w:rPr>
          <w:rFonts w:cstheme="minorHAnsi"/>
          <w:vertAlign w:val="superscript"/>
          <w:lang w:val="es-EC"/>
        </w:rPr>
        <w:t xml:space="preserve">3 </w:t>
      </w:r>
      <w:r w:rsidRPr="007A0A87">
        <w:rPr>
          <w:rFonts w:cstheme="minorHAnsi"/>
          <w:lang w:val="es-EC"/>
        </w:rPr>
        <w:t>Centro de Investigación en Neurociencias, Universidad de Costa Rica, San Pedro, San José, Costa Rica</w:t>
      </w:r>
    </w:p>
    <w:p w:rsidR="005939CD" w:rsidRPr="007A0A87" w:rsidRDefault="005939CD">
      <w:pPr>
        <w:spacing w:line="480" w:lineRule="auto"/>
        <w:jc w:val="both"/>
        <w:rPr>
          <w:rFonts w:cstheme="minorHAnsi"/>
          <w:b/>
          <w:lang w:val="es-ES"/>
        </w:rPr>
      </w:pPr>
    </w:p>
    <w:p w:rsidR="005939CD" w:rsidRPr="007A0A87" w:rsidRDefault="00C24910">
      <w:pPr>
        <w:spacing w:line="480" w:lineRule="auto"/>
        <w:jc w:val="both"/>
        <w:rPr>
          <w:rFonts w:cstheme="minorHAnsi"/>
          <w:b/>
          <w:lang w:val="en-GB"/>
        </w:rPr>
      </w:pPr>
      <w:r w:rsidRPr="007A0A87">
        <w:rPr>
          <w:rFonts w:cstheme="minorHAnsi"/>
          <w:b/>
          <w:lang w:val="en-GB"/>
        </w:rPr>
        <w:t>Abstract</w:t>
      </w:r>
    </w:p>
    <w:p w:rsidR="005939CD" w:rsidRDefault="00C24910">
      <w:pPr>
        <w:pStyle w:val="NormalnyWeb"/>
        <w:spacing w:before="0" w:beforeAutospacing="0" w:after="0" w:afterAutospacing="0" w:line="480" w:lineRule="auto"/>
        <w:jc w:val="both"/>
        <w:rPr>
          <w:rFonts w:asciiTheme="minorHAnsi" w:hAnsiTheme="minorHAnsi" w:cstheme="minorHAnsi"/>
          <w:sz w:val="22"/>
          <w:szCs w:val="22"/>
          <w:lang w:val="en-GB"/>
        </w:rPr>
      </w:pPr>
      <w:r>
        <w:rPr>
          <w:rFonts w:asciiTheme="minorHAnsi" w:hAnsiTheme="minorHAnsi" w:cstheme="minorHAnsi"/>
          <w:sz w:val="22"/>
          <w:szCs w:val="22"/>
          <w:lang w:val="en-GB"/>
        </w:rPr>
        <w:t xml:space="preserve">Traditionally, foraging behaviour has been explained as the response to a trade-off between energetic gain from feeding resources and the potential costs from concomitant risks. However, increasing number of studies has shown that this view fail to explain an important </w:t>
      </w:r>
      <w:r>
        <w:rPr>
          <w:rFonts w:asciiTheme="minorHAnsi" w:hAnsiTheme="minorHAnsi" w:cstheme="minorHAnsi"/>
          <w:sz w:val="22"/>
          <w:szCs w:val="22"/>
          <w:lang w:val="en-US"/>
        </w:rPr>
        <w:t xml:space="preserve">fraction </w:t>
      </w:r>
      <w:r>
        <w:rPr>
          <w:rFonts w:asciiTheme="minorHAnsi" w:hAnsiTheme="minorHAnsi" w:cstheme="minorHAnsi"/>
          <w:sz w:val="22"/>
          <w:szCs w:val="22"/>
          <w:lang w:val="en-GB"/>
        </w:rPr>
        <w:t>of the variation in foraging across a variety of taxa. One of potential mechanisms that may account for this variation is that various behaviours associated with foraging may have different fitness consequences and that may further depend on the environmental context. Here, we explored this mechanism by evaluating individual responses of long-billed hermit hummingbirds (</w:t>
      </w:r>
      <w:r>
        <w:rPr>
          <w:rFonts w:asciiTheme="minorHAnsi" w:hAnsiTheme="minorHAnsi" w:cstheme="minorHAnsi"/>
          <w:i/>
          <w:sz w:val="22"/>
          <w:szCs w:val="22"/>
          <w:lang w:val="en-GB"/>
        </w:rPr>
        <w:t xml:space="preserve">Phaethornis longirostris) </w:t>
      </w:r>
      <w:r>
        <w:rPr>
          <w:rFonts w:asciiTheme="minorHAnsi" w:hAnsiTheme="minorHAnsi" w:cstheme="minorHAnsi"/>
          <w:iCs/>
          <w:sz w:val="22"/>
          <w:szCs w:val="22"/>
          <w:lang w:val="en-GB"/>
        </w:rPr>
        <w:t>to</w:t>
      </w:r>
      <w:r>
        <w:rPr>
          <w:rFonts w:asciiTheme="minorHAnsi" w:hAnsiTheme="minorHAnsi" w:cstheme="minorHAnsi"/>
          <w:sz w:val="22"/>
          <w:szCs w:val="22"/>
          <w:lang w:val="en-GB"/>
        </w:rPr>
        <w:t xml:space="preserve"> food resource exploitation contexts with varying levels of risk. </w:t>
      </w:r>
      <w:r>
        <w:rPr>
          <w:rFonts w:asciiTheme="minorHAnsi" w:hAnsiTheme="minorHAnsi" w:cstheme="minorHAnsi"/>
          <w:sz w:val="22"/>
          <w:szCs w:val="22"/>
          <w:lang w:val="pt"/>
        </w:rPr>
        <w:t>W</w:t>
      </w:r>
      <w:r>
        <w:rPr>
          <w:rFonts w:asciiTheme="minorHAnsi" w:hAnsiTheme="minorHAnsi" w:cstheme="minorHAnsi"/>
          <w:sz w:val="22"/>
          <w:szCs w:val="22"/>
          <w:lang w:val="en-GB"/>
        </w:rPr>
        <w:t xml:space="preserve">e quantified birds foraging efficiency with regard to three behaviours: a) exploration (number of feeders used during the foraging visit), b) risk avoidance (latency to start feeding) and c) arousal (amount of movements during the foraging visit) in conditions of two different levels of perceived risk (low – control, and high – experimental, with a threatening bullet ant model). As expected, foraging efficiency decreased in response to threatening conditions. However, exploration and arousal explained additional variation in foraging efficiency in </w:t>
      </w:r>
      <w:r>
        <w:rPr>
          <w:rFonts w:asciiTheme="minorHAnsi" w:hAnsiTheme="minorHAnsi" w:cstheme="minorHAnsi"/>
          <w:sz w:val="22"/>
          <w:szCs w:val="22"/>
          <w:lang w:val="pt"/>
        </w:rPr>
        <w:t xml:space="preserve">a </w:t>
      </w:r>
      <w:r>
        <w:rPr>
          <w:rFonts w:asciiTheme="minorHAnsi" w:hAnsiTheme="minorHAnsi" w:cstheme="minorHAnsi"/>
          <w:sz w:val="22"/>
          <w:szCs w:val="22"/>
          <w:lang w:val="en-GB"/>
        </w:rPr>
        <w:t xml:space="preserve">condition-dependent manner. </w:t>
      </w:r>
      <w:r>
        <w:rPr>
          <w:rFonts w:asciiTheme="minorHAnsi" w:hAnsiTheme="minorHAnsi" w:cstheme="minorHAnsi"/>
          <w:sz w:val="22"/>
          <w:szCs w:val="22"/>
          <w:lang w:val="pt"/>
        </w:rPr>
        <w:t>M</w:t>
      </w:r>
      <w:r>
        <w:rPr>
          <w:rFonts w:asciiTheme="minorHAnsi" w:hAnsiTheme="minorHAnsi" w:cstheme="minorHAnsi"/>
          <w:sz w:val="22"/>
          <w:szCs w:val="22"/>
          <w:lang w:val="en-GB"/>
        </w:rPr>
        <w:t xml:space="preserve">ore </w:t>
      </w:r>
      <w:r w:rsidR="00E4308A">
        <w:rPr>
          <w:rFonts w:asciiTheme="minorHAnsi" w:hAnsiTheme="minorHAnsi" w:cstheme="minorHAnsi"/>
          <w:sz w:val="22"/>
          <w:szCs w:val="22"/>
          <w:lang w:val="en-GB"/>
        </w:rPr>
        <w:t>exploration</w:t>
      </w:r>
      <w:r>
        <w:rPr>
          <w:rFonts w:asciiTheme="minorHAnsi" w:hAnsiTheme="minorHAnsi" w:cstheme="minorHAnsi"/>
          <w:sz w:val="22"/>
          <w:szCs w:val="22"/>
          <w:lang w:val="en-US"/>
        </w:rPr>
        <w:t xml:space="preserve"> was associated</w:t>
      </w:r>
      <w:r>
        <w:rPr>
          <w:rFonts w:asciiTheme="minorHAnsi" w:hAnsiTheme="minorHAnsi" w:cstheme="minorHAnsi"/>
          <w:sz w:val="22"/>
          <w:szCs w:val="22"/>
          <w:lang w:val="pt"/>
        </w:rPr>
        <w:t xml:space="preserve"> </w:t>
      </w:r>
      <w:r>
        <w:rPr>
          <w:rFonts w:asciiTheme="minorHAnsi" w:hAnsiTheme="minorHAnsi" w:cstheme="minorHAnsi"/>
          <w:sz w:val="22"/>
          <w:szCs w:val="22"/>
          <w:lang w:val="en-US"/>
        </w:rPr>
        <w:t xml:space="preserve">to </w:t>
      </w:r>
      <w:r>
        <w:rPr>
          <w:rFonts w:asciiTheme="minorHAnsi" w:hAnsiTheme="minorHAnsi" w:cstheme="minorHAnsi"/>
          <w:sz w:val="22"/>
          <w:szCs w:val="22"/>
          <w:lang w:val="en-GB"/>
        </w:rPr>
        <w:t xml:space="preserve">higher foraging efficiency in control conditions, but this was reversed when exposed to a threat. Regardless of conditions, arousal was positively associated with foraging efficiency while risk-avoidance was negatively related. Importantly, </w:t>
      </w:r>
      <w:r>
        <w:rPr>
          <w:rFonts w:asciiTheme="minorHAnsi" w:hAnsiTheme="minorHAnsi" w:cstheme="minorHAnsi"/>
          <w:sz w:val="22"/>
          <w:szCs w:val="22"/>
          <w:lang w:val="en-GB"/>
        </w:rPr>
        <w:lastRenderedPageBreak/>
        <w:t xml:space="preserve">exploratory behaviour and risk-avoidance were quite repeatable behaviours suggesting that they may be related to </w:t>
      </w:r>
      <w:r>
        <w:rPr>
          <w:rFonts w:asciiTheme="minorHAnsi" w:hAnsiTheme="minorHAnsi" w:cstheme="minorHAnsi"/>
          <w:sz w:val="22"/>
          <w:szCs w:val="22"/>
          <w:lang w:val="pt"/>
        </w:rPr>
        <w:t>intrinsic differences between individuals</w:t>
      </w:r>
      <w:r>
        <w:rPr>
          <w:rFonts w:asciiTheme="minorHAnsi" w:hAnsiTheme="minorHAnsi" w:cstheme="minorHAnsi"/>
          <w:sz w:val="22"/>
          <w:szCs w:val="22"/>
          <w:lang w:val="en-GB"/>
        </w:rPr>
        <w:t xml:space="preserve">. Our findings highlight the importance of taking into account </w:t>
      </w:r>
      <w:r>
        <w:rPr>
          <w:rFonts w:asciiTheme="minorHAnsi" w:hAnsiTheme="minorHAnsi" w:cstheme="minorHAnsi"/>
          <w:sz w:val="22"/>
          <w:szCs w:val="22"/>
          <w:lang w:val="en-US"/>
        </w:rPr>
        <w:t xml:space="preserve">for additional behavioral dimensions </w:t>
      </w:r>
      <w:r>
        <w:rPr>
          <w:rFonts w:asciiTheme="minorHAnsi" w:hAnsiTheme="minorHAnsi" w:cstheme="minorHAnsi"/>
          <w:sz w:val="22"/>
          <w:szCs w:val="22"/>
          <w:lang w:val="en-GB"/>
        </w:rPr>
        <w:t>to better understand foraging strategies and the ecological interactions in which individual decisions can play a major role.</w:t>
      </w:r>
    </w:p>
    <w:p w:rsidR="005939CD" w:rsidRDefault="005939CD">
      <w:pPr>
        <w:spacing w:after="0" w:line="480" w:lineRule="auto"/>
        <w:jc w:val="both"/>
        <w:rPr>
          <w:rFonts w:cstheme="minorHAnsi"/>
          <w:b/>
          <w:lang w:val="en-GB"/>
        </w:rPr>
      </w:pPr>
    </w:p>
    <w:p w:rsidR="002418D4" w:rsidRPr="002418D4" w:rsidRDefault="006D3236">
      <w:pPr>
        <w:spacing w:after="0" w:line="480" w:lineRule="auto"/>
        <w:jc w:val="both"/>
        <w:rPr>
          <w:b/>
        </w:rPr>
      </w:pPr>
      <w:r>
        <w:rPr>
          <w:b/>
        </w:rPr>
        <w:t>Significance st</w:t>
      </w:r>
      <w:r w:rsidR="002418D4" w:rsidRPr="00054A69">
        <w:rPr>
          <w:b/>
        </w:rPr>
        <w:t>atement</w:t>
      </w:r>
    </w:p>
    <w:p w:rsidR="002418D4" w:rsidRDefault="002418D4">
      <w:pPr>
        <w:spacing w:after="0" w:line="480" w:lineRule="auto"/>
        <w:jc w:val="both"/>
        <w:rPr>
          <w:rFonts w:cstheme="minorHAnsi"/>
          <w:b/>
          <w:lang w:val="en-GB"/>
        </w:rPr>
      </w:pPr>
      <w:bookmarkStart w:id="0" w:name="_GoBack"/>
      <w:bookmarkEnd w:id="0"/>
    </w:p>
    <w:p w:rsidR="0089139F" w:rsidRDefault="0089139F" w:rsidP="0089139F">
      <w:pPr>
        <w:pStyle w:val="NormalnyWeb"/>
        <w:spacing w:before="0" w:beforeAutospacing="0" w:after="0" w:afterAutospacing="0" w:line="480" w:lineRule="auto"/>
        <w:jc w:val="both"/>
        <w:rPr>
          <w:rFonts w:asciiTheme="minorHAnsi" w:hAnsiTheme="minorHAnsi" w:cstheme="minorHAnsi"/>
          <w:sz w:val="22"/>
          <w:szCs w:val="22"/>
          <w:lang w:val="en-GB"/>
        </w:rPr>
      </w:pPr>
      <w:r>
        <w:rPr>
          <w:rFonts w:asciiTheme="minorHAnsi" w:hAnsiTheme="minorHAnsi" w:cstheme="minorHAnsi"/>
          <w:sz w:val="22"/>
          <w:szCs w:val="22"/>
          <w:lang w:val="en-GB"/>
        </w:rPr>
        <w:t xml:space="preserve">Although </w:t>
      </w:r>
      <w:r>
        <w:rPr>
          <w:rFonts w:asciiTheme="minorHAnsi" w:hAnsiTheme="minorHAnsi" w:cstheme="minorHAnsi"/>
          <w:sz w:val="22"/>
          <w:szCs w:val="22"/>
          <w:lang w:val="en-GB"/>
        </w:rPr>
        <w:t xml:space="preserve">foraging behaviour </w:t>
      </w:r>
      <w:r>
        <w:rPr>
          <w:rFonts w:asciiTheme="minorHAnsi" w:hAnsiTheme="minorHAnsi" w:cstheme="minorHAnsi"/>
          <w:sz w:val="22"/>
          <w:szCs w:val="22"/>
          <w:lang w:val="en-GB"/>
        </w:rPr>
        <w:t xml:space="preserve">in given context of energy gain and predation risk should be a fixed strategy, there is a considerable inter-individual </w:t>
      </w:r>
      <w:r>
        <w:rPr>
          <w:rFonts w:asciiTheme="minorHAnsi" w:hAnsiTheme="minorHAnsi" w:cstheme="minorHAnsi"/>
          <w:sz w:val="22"/>
          <w:szCs w:val="22"/>
          <w:lang w:val="en-GB"/>
        </w:rPr>
        <w:t xml:space="preserve">variation in </w:t>
      </w:r>
      <w:r>
        <w:rPr>
          <w:rFonts w:asciiTheme="minorHAnsi" w:hAnsiTheme="minorHAnsi" w:cstheme="minorHAnsi"/>
          <w:sz w:val="22"/>
          <w:szCs w:val="22"/>
          <w:lang w:val="en-GB"/>
        </w:rPr>
        <w:t xml:space="preserve">the behaviour. How such a variation is maintained remains a puzzle, and one </w:t>
      </w:r>
      <w:r>
        <w:rPr>
          <w:rFonts w:asciiTheme="minorHAnsi" w:hAnsiTheme="minorHAnsi" w:cstheme="minorHAnsi"/>
          <w:sz w:val="22"/>
          <w:szCs w:val="22"/>
          <w:lang w:val="en-GB"/>
        </w:rPr>
        <w:t xml:space="preserve">of potential mechanisms is that various behaviours </w:t>
      </w:r>
      <w:r w:rsidR="00054A69">
        <w:rPr>
          <w:rFonts w:asciiTheme="minorHAnsi" w:hAnsiTheme="minorHAnsi" w:cstheme="minorHAnsi"/>
          <w:sz w:val="22"/>
          <w:szCs w:val="22"/>
          <w:lang w:val="en-GB"/>
        </w:rPr>
        <w:t xml:space="preserve">associated with foraging </w:t>
      </w:r>
      <w:r>
        <w:rPr>
          <w:rFonts w:asciiTheme="minorHAnsi" w:hAnsiTheme="minorHAnsi" w:cstheme="minorHAnsi"/>
          <w:sz w:val="22"/>
          <w:szCs w:val="22"/>
          <w:lang w:val="en-GB"/>
        </w:rPr>
        <w:t>may have</w:t>
      </w:r>
      <w:r>
        <w:rPr>
          <w:rFonts w:asciiTheme="minorHAnsi" w:hAnsiTheme="minorHAnsi" w:cstheme="minorHAnsi"/>
          <w:sz w:val="22"/>
          <w:szCs w:val="22"/>
          <w:lang w:val="en-GB"/>
        </w:rPr>
        <w:t xml:space="preserve"> different fitness consequences</w:t>
      </w:r>
      <w:r w:rsidR="00054A69">
        <w:rPr>
          <w:rFonts w:asciiTheme="minorHAnsi" w:hAnsiTheme="minorHAnsi" w:cstheme="minorHAnsi"/>
          <w:sz w:val="22"/>
          <w:szCs w:val="22"/>
          <w:lang w:val="en-GB"/>
        </w:rPr>
        <w:t xml:space="preserve"> in different conditions</w:t>
      </w:r>
      <w:r>
        <w:rPr>
          <w:rFonts w:asciiTheme="minorHAnsi" w:hAnsiTheme="minorHAnsi" w:cstheme="minorHAnsi"/>
          <w:sz w:val="22"/>
          <w:szCs w:val="22"/>
          <w:lang w:val="en-GB"/>
        </w:rPr>
        <w:t xml:space="preserve">. </w:t>
      </w:r>
      <w:r>
        <w:rPr>
          <w:rFonts w:asciiTheme="minorHAnsi" w:hAnsiTheme="minorHAnsi" w:cstheme="minorHAnsi"/>
          <w:sz w:val="22"/>
          <w:szCs w:val="22"/>
          <w:lang w:val="en-GB"/>
        </w:rPr>
        <w:t>W</w:t>
      </w:r>
      <w:r>
        <w:rPr>
          <w:rFonts w:asciiTheme="minorHAnsi" w:hAnsiTheme="minorHAnsi" w:cstheme="minorHAnsi"/>
          <w:sz w:val="22"/>
          <w:szCs w:val="22"/>
          <w:lang w:val="en-GB"/>
        </w:rPr>
        <w:t xml:space="preserve">e explored this </w:t>
      </w:r>
      <w:r>
        <w:rPr>
          <w:rFonts w:asciiTheme="minorHAnsi" w:hAnsiTheme="minorHAnsi" w:cstheme="minorHAnsi"/>
          <w:sz w:val="22"/>
          <w:szCs w:val="22"/>
          <w:lang w:val="en-GB"/>
        </w:rPr>
        <w:t xml:space="preserve">question </w:t>
      </w:r>
      <w:r>
        <w:rPr>
          <w:rFonts w:asciiTheme="minorHAnsi" w:hAnsiTheme="minorHAnsi" w:cstheme="minorHAnsi"/>
          <w:sz w:val="22"/>
          <w:szCs w:val="22"/>
          <w:lang w:val="en-GB"/>
        </w:rPr>
        <w:t xml:space="preserve">evaluating foraging efficiency </w:t>
      </w:r>
      <w:r w:rsidR="00054A69">
        <w:rPr>
          <w:rFonts w:asciiTheme="minorHAnsi" w:hAnsiTheme="minorHAnsi" w:cstheme="minorHAnsi"/>
          <w:sz w:val="22"/>
          <w:szCs w:val="22"/>
          <w:lang w:val="en-GB"/>
        </w:rPr>
        <w:t xml:space="preserve">in </w:t>
      </w:r>
      <w:r>
        <w:rPr>
          <w:rFonts w:asciiTheme="minorHAnsi" w:hAnsiTheme="minorHAnsi" w:cstheme="minorHAnsi"/>
          <w:sz w:val="22"/>
          <w:szCs w:val="22"/>
          <w:lang w:val="en-GB"/>
        </w:rPr>
        <w:t>hummingbirds</w:t>
      </w:r>
      <w:r w:rsidR="00054A69">
        <w:rPr>
          <w:rFonts w:asciiTheme="minorHAnsi" w:hAnsiTheme="minorHAnsi" w:cstheme="minorHAnsi"/>
          <w:sz w:val="22"/>
          <w:szCs w:val="22"/>
          <w:lang w:val="en-GB"/>
        </w:rPr>
        <w:t xml:space="preserve"> in conditions of low and high level of perceived risk,</w:t>
      </w:r>
      <w:r>
        <w:rPr>
          <w:rFonts w:asciiTheme="minorHAnsi" w:hAnsiTheme="minorHAnsi" w:cstheme="minorHAnsi"/>
          <w:sz w:val="22"/>
          <w:szCs w:val="22"/>
          <w:lang w:val="en-GB"/>
        </w:rPr>
        <w:t xml:space="preserve"> </w:t>
      </w:r>
      <w:r w:rsidR="00054A69">
        <w:rPr>
          <w:rFonts w:asciiTheme="minorHAnsi" w:hAnsiTheme="minorHAnsi" w:cstheme="minorHAnsi"/>
          <w:sz w:val="22"/>
          <w:szCs w:val="22"/>
          <w:lang w:val="en-GB"/>
        </w:rPr>
        <w:t xml:space="preserve">and </w:t>
      </w:r>
      <w:r>
        <w:rPr>
          <w:rFonts w:asciiTheme="minorHAnsi" w:hAnsiTheme="minorHAnsi" w:cstheme="minorHAnsi"/>
          <w:sz w:val="22"/>
          <w:szCs w:val="22"/>
          <w:lang w:val="en-GB"/>
        </w:rPr>
        <w:t xml:space="preserve">found that </w:t>
      </w:r>
      <w:r w:rsidR="00054A69">
        <w:rPr>
          <w:rFonts w:asciiTheme="minorHAnsi" w:hAnsiTheme="minorHAnsi" w:cstheme="minorHAnsi"/>
          <w:sz w:val="22"/>
          <w:szCs w:val="22"/>
          <w:lang w:val="en-GB"/>
        </w:rPr>
        <w:t xml:space="preserve">their </w:t>
      </w:r>
      <w:r>
        <w:rPr>
          <w:rFonts w:asciiTheme="minorHAnsi" w:hAnsiTheme="minorHAnsi" w:cstheme="minorHAnsi"/>
          <w:sz w:val="22"/>
          <w:szCs w:val="22"/>
          <w:lang w:val="en-GB"/>
        </w:rPr>
        <w:t xml:space="preserve">foraging efficiency decreased </w:t>
      </w:r>
      <w:r w:rsidR="00054A69">
        <w:rPr>
          <w:rFonts w:asciiTheme="minorHAnsi" w:hAnsiTheme="minorHAnsi" w:cstheme="minorHAnsi"/>
          <w:sz w:val="22"/>
          <w:szCs w:val="22"/>
          <w:lang w:val="en-GB"/>
        </w:rPr>
        <w:t>when they were exposed to a threat</w:t>
      </w:r>
      <w:r>
        <w:rPr>
          <w:rFonts w:asciiTheme="minorHAnsi" w:hAnsiTheme="minorHAnsi" w:cstheme="minorHAnsi"/>
          <w:sz w:val="22"/>
          <w:szCs w:val="22"/>
          <w:lang w:val="en-GB"/>
        </w:rPr>
        <w:t xml:space="preserve">. </w:t>
      </w:r>
      <w:r w:rsidR="00054A69">
        <w:rPr>
          <w:rFonts w:asciiTheme="minorHAnsi" w:hAnsiTheme="minorHAnsi" w:cstheme="minorHAnsi"/>
          <w:sz w:val="22"/>
          <w:szCs w:val="22"/>
          <w:lang w:val="en-GB"/>
        </w:rPr>
        <w:t xml:space="preserve">Interestingly, birds </w:t>
      </w:r>
      <w:r w:rsidR="00DE77DF">
        <w:rPr>
          <w:rFonts w:asciiTheme="minorHAnsi" w:hAnsiTheme="minorHAnsi" w:cstheme="minorHAnsi"/>
          <w:sz w:val="22"/>
          <w:szCs w:val="22"/>
          <w:lang w:val="en-GB"/>
        </w:rPr>
        <w:t xml:space="preserve">were more explorative during </w:t>
      </w:r>
      <w:r>
        <w:rPr>
          <w:rFonts w:asciiTheme="minorHAnsi" w:hAnsiTheme="minorHAnsi" w:cstheme="minorHAnsi"/>
          <w:sz w:val="22"/>
          <w:szCs w:val="22"/>
          <w:lang w:val="en-GB"/>
        </w:rPr>
        <w:t xml:space="preserve">foraging </w:t>
      </w:r>
      <w:r w:rsidR="00DE77DF">
        <w:rPr>
          <w:rFonts w:asciiTheme="minorHAnsi" w:hAnsiTheme="minorHAnsi" w:cstheme="minorHAnsi"/>
          <w:sz w:val="22"/>
          <w:szCs w:val="22"/>
          <w:lang w:val="en-GB"/>
        </w:rPr>
        <w:t xml:space="preserve">when </w:t>
      </w:r>
      <w:r w:rsidR="00054A69">
        <w:rPr>
          <w:rFonts w:asciiTheme="minorHAnsi" w:hAnsiTheme="minorHAnsi" w:cstheme="minorHAnsi"/>
          <w:sz w:val="22"/>
          <w:szCs w:val="22"/>
          <w:lang w:val="en-GB"/>
        </w:rPr>
        <w:t xml:space="preserve">the risk level was low but the opposite was the case in </w:t>
      </w:r>
      <w:r w:rsidR="00DE77DF">
        <w:rPr>
          <w:rFonts w:asciiTheme="minorHAnsi" w:hAnsiTheme="minorHAnsi" w:cstheme="minorHAnsi"/>
          <w:sz w:val="22"/>
          <w:szCs w:val="22"/>
          <w:lang w:val="en-GB"/>
        </w:rPr>
        <w:t xml:space="preserve">the </w:t>
      </w:r>
      <w:r w:rsidR="00054A69">
        <w:rPr>
          <w:rFonts w:asciiTheme="minorHAnsi" w:hAnsiTheme="minorHAnsi" w:cstheme="minorHAnsi"/>
          <w:sz w:val="22"/>
          <w:szCs w:val="22"/>
          <w:lang w:val="en-GB"/>
        </w:rPr>
        <w:t>condition</w:t>
      </w:r>
      <w:r w:rsidR="00DE77DF">
        <w:rPr>
          <w:rFonts w:asciiTheme="minorHAnsi" w:hAnsiTheme="minorHAnsi" w:cstheme="minorHAnsi"/>
          <w:sz w:val="22"/>
          <w:szCs w:val="22"/>
          <w:lang w:val="en-GB"/>
        </w:rPr>
        <w:t>s</w:t>
      </w:r>
      <w:r w:rsidR="00054A69">
        <w:rPr>
          <w:rFonts w:asciiTheme="minorHAnsi" w:hAnsiTheme="minorHAnsi" w:cstheme="minorHAnsi"/>
          <w:sz w:val="22"/>
          <w:szCs w:val="22"/>
          <w:lang w:val="en-GB"/>
        </w:rPr>
        <w:t xml:space="preserve"> of high risk</w:t>
      </w:r>
      <w:r>
        <w:rPr>
          <w:rFonts w:asciiTheme="minorHAnsi" w:hAnsiTheme="minorHAnsi" w:cstheme="minorHAnsi"/>
          <w:sz w:val="22"/>
          <w:szCs w:val="22"/>
          <w:lang w:val="en-GB"/>
        </w:rPr>
        <w:t xml:space="preserve">. </w:t>
      </w:r>
      <w:r w:rsidR="00054A69">
        <w:rPr>
          <w:rFonts w:asciiTheme="minorHAnsi" w:hAnsiTheme="minorHAnsi" w:cstheme="minorHAnsi"/>
          <w:sz w:val="22"/>
          <w:szCs w:val="22"/>
          <w:lang w:val="en-GB"/>
        </w:rPr>
        <w:t>Besides</w:t>
      </w:r>
      <w:r>
        <w:rPr>
          <w:rFonts w:asciiTheme="minorHAnsi" w:hAnsiTheme="minorHAnsi" w:cstheme="minorHAnsi"/>
          <w:sz w:val="22"/>
          <w:szCs w:val="22"/>
          <w:lang w:val="en-GB"/>
        </w:rPr>
        <w:t xml:space="preserve">, </w:t>
      </w:r>
      <w:r w:rsidR="00054A69">
        <w:rPr>
          <w:rFonts w:asciiTheme="minorHAnsi" w:hAnsiTheme="minorHAnsi" w:cstheme="minorHAnsi"/>
          <w:sz w:val="22"/>
          <w:szCs w:val="22"/>
          <w:lang w:val="en-GB"/>
        </w:rPr>
        <w:t xml:space="preserve">we found individual </w:t>
      </w:r>
      <w:r w:rsidR="00DE77DF">
        <w:rPr>
          <w:rFonts w:asciiTheme="minorHAnsi" w:hAnsiTheme="minorHAnsi" w:cstheme="minorHAnsi"/>
          <w:sz w:val="22"/>
          <w:szCs w:val="22"/>
          <w:lang w:val="en-GB"/>
        </w:rPr>
        <w:t xml:space="preserve">to behave quite repetitively during the foraging. </w:t>
      </w:r>
      <w:r>
        <w:rPr>
          <w:rFonts w:asciiTheme="minorHAnsi" w:hAnsiTheme="minorHAnsi" w:cstheme="minorHAnsi"/>
          <w:sz w:val="22"/>
          <w:szCs w:val="22"/>
          <w:lang w:val="en-GB"/>
        </w:rPr>
        <w:t xml:space="preserve">Our findings highlight importance of taking into account </w:t>
      </w:r>
      <w:r w:rsidR="00054A69">
        <w:rPr>
          <w:rFonts w:asciiTheme="minorHAnsi" w:hAnsiTheme="minorHAnsi" w:cstheme="minorHAnsi"/>
          <w:sz w:val="22"/>
          <w:szCs w:val="22"/>
          <w:lang w:val="en-US"/>
        </w:rPr>
        <w:t>for additional behaviors</w:t>
      </w:r>
      <w:r>
        <w:rPr>
          <w:rFonts w:asciiTheme="minorHAnsi" w:hAnsiTheme="minorHAnsi" w:cstheme="minorHAnsi"/>
          <w:sz w:val="22"/>
          <w:szCs w:val="22"/>
          <w:lang w:val="en-US"/>
        </w:rPr>
        <w:t xml:space="preserve"> </w:t>
      </w:r>
      <w:r>
        <w:rPr>
          <w:rFonts w:asciiTheme="minorHAnsi" w:hAnsiTheme="minorHAnsi" w:cstheme="minorHAnsi"/>
          <w:sz w:val="22"/>
          <w:szCs w:val="22"/>
          <w:lang w:val="en-GB"/>
        </w:rPr>
        <w:t>to better understand foraging strategies.</w:t>
      </w:r>
    </w:p>
    <w:p w:rsidR="0089139F" w:rsidRDefault="0089139F">
      <w:pPr>
        <w:spacing w:after="0" w:line="480" w:lineRule="auto"/>
        <w:jc w:val="both"/>
        <w:rPr>
          <w:rFonts w:cstheme="minorHAnsi"/>
          <w:b/>
          <w:lang w:val="en-GB"/>
        </w:rPr>
      </w:pPr>
    </w:p>
    <w:p w:rsidR="0089139F" w:rsidRDefault="0089139F">
      <w:pPr>
        <w:spacing w:after="0" w:line="480" w:lineRule="auto"/>
        <w:jc w:val="both"/>
        <w:rPr>
          <w:rFonts w:cstheme="minorHAnsi"/>
          <w:b/>
          <w:lang w:val="en-GB"/>
        </w:rPr>
      </w:pPr>
    </w:p>
    <w:p w:rsidR="005939CD" w:rsidRDefault="00C24910">
      <w:pPr>
        <w:spacing w:after="0" w:line="480" w:lineRule="auto"/>
        <w:jc w:val="both"/>
        <w:rPr>
          <w:rFonts w:cstheme="minorHAnsi"/>
          <w:b/>
          <w:lang w:val="en-GB"/>
        </w:rPr>
      </w:pPr>
      <w:r>
        <w:rPr>
          <w:rFonts w:cstheme="minorHAnsi"/>
          <w:b/>
          <w:lang w:val="en-GB"/>
        </w:rPr>
        <w:t>Keywords</w:t>
      </w:r>
    </w:p>
    <w:p w:rsidR="005939CD" w:rsidRDefault="00C24910">
      <w:pPr>
        <w:spacing w:after="0" w:line="480" w:lineRule="auto"/>
        <w:jc w:val="both"/>
        <w:rPr>
          <w:rFonts w:cstheme="minorHAnsi"/>
          <w:lang w:val="en-GB"/>
        </w:rPr>
      </w:pPr>
      <w:r>
        <w:rPr>
          <w:rFonts w:cstheme="minorHAnsi"/>
          <w:lang w:val="en-GB"/>
        </w:rPr>
        <w:t>risk allocation hypothesis, predator, prey,  risk-avoidance, exploratory behaviour, arousal, repeatability</w:t>
      </w:r>
    </w:p>
    <w:p w:rsidR="005939CD" w:rsidRDefault="005939CD">
      <w:pPr>
        <w:spacing w:after="0" w:line="480" w:lineRule="auto"/>
        <w:rPr>
          <w:rFonts w:cstheme="minorHAnsi"/>
          <w:b/>
          <w:lang w:val="en-GB"/>
        </w:rPr>
      </w:pPr>
    </w:p>
    <w:p w:rsidR="005939CD" w:rsidRDefault="005939CD">
      <w:pPr>
        <w:spacing w:after="0" w:line="480" w:lineRule="auto"/>
        <w:jc w:val="both"/>
        <w:rPr>
          <w:rFonts w:cstheme="minorHAnsi"/>
          <w:b/>
          <w:lang w:val="en-GB"/>
        </w:rPr>
      </w:pPr>
    </w:p>
    <w:p w:rsidR="005939CD" w:rsidRDefault="00C24910">
      <w:pPr>
        <w:spacing w:after="0" w:line="480" w:lineRule="auto"/>
        <w:jc w:val="both"/>
        <w:rPr>
          <w:rFonts w:cstheme="minorHAnsi"/>
          <w:b/>
          <w:lang w:val="en-GB"/>
        </w:rPr>
      </w:pPr>
      <w:r>
        <w:rPr>
          <w:rFonts w:cstheme="minorHAnsi"/>
          <w:b/>
          <w:lang w:val="en-GB"/>
        </w:rPr>
        <w:t>Introduction</w:t>
      </w:r>
    </w:p>
    <w:p w:rsidR="005939CD" w:rsidRDefault="00C24910">
      <w:pPr>
        <w:pStyle w:val="NormalnyWeb"/>
        <w:spacing w:line="480" w:lineRule="auto"/>
        <w:jc w:val="both"/>
        <w:rPr>
          <w:rFonts w:asciiTheme="minorHAnsi" w:hAnsiTheme="minorHAnsi" w:cstheme="minorHAnsi"/>
          <w:sz w:val="22"/>
          <w:szCs w:val="22"/>
          <w:lang w:val="en-GB"/>
        </w:rPr>
      </w:pPr>
      <w:r>
        <w:rPr>
          <w:rFonts w:asciiTheme="minorHAnsi" w:hAnsiTheme="minorHAnsi" w:cstheme="minorHAnsi"/>
          <w:sz w:val="22"/>
          <w:szCs w:val="22"/>
          <w:lang w:val="en-GB"/>
        </w:rPr>
        <w:t xml:space="preserve">A variety of ecological factors has been identified as major determinants in shaping animal’s foraging strategies (i.e. resource exploitation). Of those the most commonly evoked are the amount and </w:t>
      </w:r>
      <w:r>
        <w:rPr>
          <w:rFonts w:asciiTheme="minorHAnsi" w:hAnsiTheme="minorHAnsi" w:cstheme="minorHAnsi"/>
          <w:sz w:val="22"/>
          <w:szCs w:val="22"/>
          <w:lang w:val="en-GB"/>
        </w:rPr>
        <w:lastRenderedPageBreak/>
        <w:t xml:space="preserve">distribution of available food resources </w:t>
      </w:r>
      <w:r>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{"citationItems":[{"id":"ITEM-1","itemData":{"DOI":"10.1093/beheco/aru131","ISSN":"14657279","abstract":"In captivity, personality types differ in behavioral flexibility: \"fast\" (neophilic, exploratory, and aggressive) types quickly form routines, whereas \"slow\" types continually adjust their behavior with environmental changes. If these differences extend to pertinent natural environmental changes, which indicate changing predation or starvation threat, then personality may reflect important variation in how animals manage risk. We examined whether personality traits classified in captivity would predict the behavioral flexibility of blue tits Cyanistes caeruleus as they foraged in the wild. Behavioral flexibility was defined as the tendency to adjust feeder use with changing winter air temperature, an indicator of starvation risk. At the population level, birds reduced their feeder use on warm days. Individuals, though, varied widely, with some instead using feeders at a relatively fixed, temperature-independent rate. Sex and size, correlates of dominance in blue tits, did not predict behavioral flexibility. Instead, behavioral flexibility was predicted by age and 2 personality traits: old, neophobic, and exploratory birds were more behaviorally flexible than young, neophilic, and nonexploratory birds. Our findings suggest that personality types differ in how they use information about their environments and hence cope with environmental change.","author":[{"dropping-particle":"","family":"Herborn","given":"Katherine A.","non-dropping-particle":"","parse-names":false,"suffix":""},{"dropping-particle":"","family":"Heidinger","given":"Britt J.","non-dropping-particle":"","parse-names":false,"suffix":""},{"dropping-particle":"","family":"Alexander","given":"Lucille","non-dropping-particle":"","parse-names":false,"suffix":""},{"dropping-particle":"","family":"Arnold","given":"Kathryn E.","non-dropping-particle":"","parse-names":false,"suffix":""}],"container-title":"Behavioral Ecology","id":"ITEM-1","issue":"6","issued":{"date-parts":[["2014"]]},"page":"1374-1379","title":"Personality predicts behavioral flexibility in a fluctuating, natural environment","type":"article-journal","volume":"25"},"uris":["http://www.mendeley.com/documents/?uuid=8b6c1133-8531-4d2d-953b-7bd9aa6be47d"]},{"id":"ITEM-2","itemData":{"ISBN":"O-935868-47-X","author":[{"dropping-particle":"","family":"Morrison","given":"Michael M","non-dropping-particle":"","parse-names":false,"suffix":""},{"dropping-particle":"","family":"Raplph","given":"C John","non-dropping-particle":"","parse-names":false,"suffix":""},{"dropping-particle":"","family":"Verner","given":"Jared","non-dropping-particle":"","parse-names":false,"suffix":""},{"dropping-particle":"","family":"Jehl","given":"Joseph R Jr","non-dropping-particle":"","parse-names":false,"suffix":""}],"container-title":"Studies in Avian Biology","id":"ITEM-2","issue":"13","issued":{"date-parts":[["1990"]]},"title":"Avian Foraging: theory, methodology and applications","type":"book","volume":"13"},"uris":["http://www.mendeley.com/documents/?uuid=92a7349f-b9dc-4b94-bf41-3500a140196c"]}],"mendeley":{"formattedCitation":"(Morrison et al. 1990; Herborn et al. 2014)","plainTextFormattedCitation":"(Morrison et al. 1990; Herborn et al. 2014)","previouslyFormattedCitation":"(Morrison et al. 1990; Herborn et al. 2014)"},"properties":{"noteIndex":0},"schema":"https://github.com/citation-style-language/schema/raw/master/csl-citation.json"}</w:instrText>
      </w:r>
      <w:r>
        <w:rPr>
          <w:rFonts w:asciiTheme="minorHAnsi" w:hAnsiTheme="minorHAnsi" w:cstheme="minorHAnsi"/>
          <w:sz w:val="22"/>
          <w:szCs w:val="22"/>
          <w:lang w:val="en-GB"/>
        </w:rPr>
        <w:fldChar w:fldCharType="separate"/>
      </w:r>
      <w:r w:rsidR="00022ECD" w:rsidRPr="00022ECD">
        <w:rPr>
          <w:rFonts w:asciiTheme="minorHAnsi" w:hAnsiTheme="minorHAnsi" w:cstheme="minorHAnsi"/>
          <w:noProof/>
          <w:sz w:val="22"/>
          <w:szCs w:val="22"/>
          <w:lang w:val="en-GB"/>
        </w:rPr>
        <w:t>(Morrison et al. 1990; Herborn et al. 2014)</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xml:space="preserve"> and animal motivation (both in the sense of marginal value theorem </w:t>
      </w:r>
      <w:r>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{"citationItems":[{"id":"ITEM-1","itemData":{"author":[{"dropping-particle":"","family":"Charnov","given":"Eric L","non-dropping-particle":"","parse-names":false,"suffix":""}],"container-title":"Theoretical Population Biology","id":"ITEM-1","issued":{"date-parts":[["1976"]]},"page":"739-752","title":"Optimal foraging, the Marginal Value Theorem","type":"article-journal","volume":"9"},"uris":["http://www.mendeley.com/documents/?uuid=4ffafc64-e2df-4b2b-b5c6-1f0f07ed3b8e"]}],"mendeley":{"formattedCitation":"(Charnov 1976)","plainTextFormattedCitation":"(Charnov 1976)","previouslyFormattedCitation":"(Charnov 1976)"},"properties":{"noteIndex":0},"schema":"https://github.com/citation-style-language/schema/raw/master/csl-citation.json"}</w:instrText>
      </w:r>
      <w:r>
        <w:rPr>
          <w:rFonts w:asciiTheme="minorHAnsi" w:hAnsiTheme="minorHAnsi" w:cstheme="minorHAnsi"/>
          <w:sz w:val="22"/>
          <w:szCs w:val="22"/>
          <w:lang w:val="en-GB"/>
        </w:rPr>
        <w:fldChar w:fldCharType="separate"/>
      </w:r>
      <w:r w:rsidR="00022ECD" w:rsidRPr="00022ECD">
        <w:rPr>
          <w:rFonts w:asciiTheme="minorHAnsi" w:hAnsiTheme="minorHAnsi" w:cstheme="minorHAnsi"/>
          <w:noProof/>
          <w:sz w:val="22"/>
          <w:szCs w:val="22"/>
          <w:lang w:val="en-GB"/>
        </w:rPr>
        <w:t>(Charnov 1976)</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xml:space="preserve"> and/or body condition </w:t>
      </w:r>
      <w:r>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{"citationItems":[{"id":"ITEM-1","itemData":{"DOI":"10.1073/pnas.98.3.1089","ISSN":"00278424","abstract":"We test the predictive value of the main energetic currencies used in foraging theory using starlings that choose between two foraging modes (walking versus flying). Walking is low-cost, low-yield, whereas flying is the opposite. We fixed experimentally, at 11 different values, the amount of flight required to get one food reward, and for each flight cost value, we titrated the amount of walking until the birds showed indifference between foraging modes. We then compared the indifference points to those predicted by gross rate of gain over time, net rate of gain over time, and the ratio of gain to expenditure (efficiency). The results for the choice between modes show strong qualitative and quantitative support for net rate of gain over time over the alternatives. However, the birds foraged for only a fraction of the available time, indicating that the choice between foraging and resting could not be explained by any of these currencies. We suggest that this discrepancy could be accounted for functionally because nonenergetic factors such as predation risk may differ between resting and foraging in any mode but may not differ much between foraging modes, hence releasing the choice between foraging modes from the influence of such factors. Alternatively, the discrepancy may be attributable to the use of predictable (rather than stochastic) ratios of effort per prey in our experiment, and it may thus be better understood with mechanistic rather than functional arguments.","author":[{"dropping-particle":"","family":"Bautista","given":"Luis M.","non-dropping-particle":"","parse-names":false,"suffix":""},{"dropping-particle":"","family":"Tinbergen","given":"Joost","non-dropping-particle":"","parse-names":false,"suffix":""},{"dropping-particle":"","family":"Kacelnik","given":"Alejandro","non-dropping-particle":"","parse-names":false,"suffix":""}],"container-title":"Proceedings of the National Academy of Sciences of the United States of America","id":"ITEM-1","issue":"3","issued":{"date-parts":[["2001"]]},"page":"1089-1094","title":"To walk or to fly? How birds choose among foraging modes","type":"article-journal","volume":"98"},"uris":["http://www.mendeley.com/documents/?uuid=b8723a0e-dd9b-4ae0-9314-a6a475322268"]}],"mendeley":{"formattedCitation":"(Bautista et al. 2001)","plainTextFormattedCitation":"(Bautista et al. 2001)","previouslyFormattedCitation":"(Bautista et al. 2001)"},"properties":{"noteIndex":0},"schema":"https://github.com/citation-style-language/schema/raw/master/csl-citation.json"}</w:instrText>
      </w:r>
      <w:r>
        <w:rPr>
          <w:rFonts w:asciiTheme="minorHAnsi" w:hAnsiTheme="minorHAnsi" w:cstheme="minorHAnsi"/>
          <w:sz w:val="22"/>
          <w:szCs w:val="22"/>
          <w:lang w:val="en-GB"/>
        </w:rPr>
        <w:fldChar w:fldCharType="separate"/>
      </w:r>
      <w:r w:rsidR="00022ECD" w:rsidRPr="00022ECD">
        <w:rPr>
          <w:rFonts w:asciiTheme="minorHAnsi" w:hAnsiTheme="minorHAnsi" w:cstheme="minorHAnsi"/>
          <w:noProof/>
          <w:sz w:val="22"/>
          <w:szCs w:val="22"/>
          <w:lang w:val="en-GB"/>
        </w:rPr>
        <w:t>(Bautista et al. 2001)</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xml:space="preserve">), but predation pressure is also frequently considered </w:t>
      </w:r>
      <w:r>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hypothesis","type":"article-journal","volume":"153"},"uris":["http://www.mendeley.com/documents/?uuid=fdff2887-ada9-40bb-a7d8-1b0d216ae37c"]}],"mendeley":{"formattedCitation":"(Lima and Bednekoff 1999)","plainTextFormattedCitation":"(Lima and Bednekoff 1999)","previouslyFormattedCitation":"(Lima and Bednekoff 1999)"},"properties":{"noteIndex":0},"schema":"https://github.com/citation-style-language/schema/raw/master/csl-citation.json"}</w:instrText>
      </w:r>
      <w:r>
        <w:rPr>
          <w:rFonts w:asciiTheme="minorHAnsi" w:hAnsiTheme="minorHAnsi" w:cstheme="minorHAnsi"/>
          <w:sz w:val="22"/>
          <w:szCs w:val="22"/>
          <w:lang w:val="en-GB"/>
        </w:rPr>
        <w:fldChar w:fldCharType="separate"/>
      </w:r>
      <w:r w:rsidR="00022ECD" w:rsidRPr="00022ECD">
        <w:rPr>
          <w:rFonts w:asciiTheme="minorHAnsi" w:hAnsiTheme="minorHAnsi" w:cstheme="minorHAnsi"/>
          <w:noProof/>
          <w:sz w:val="22"/>
          <w:szCs w:val="22"/>
          <w:lang w:val="en-GB"/>
        </w:rPr>
        <w:t>(Lima and Bednekoff 1999)</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xml:space="preserve">. The intensity of a prey vigilance increases with the level of risk predation (probability of predator presence) affecting </w:t>
      </w:r>
      <w:r>
        <w:rPr>
          <w:rFonts w:asciiTheme="minorHAnsi" w:hAnsiTheme="minorHAnsi" w:cstheme="minorHAnsi"/>
          <w:sz w:val="22"/>
          <w:szCs w:val="22"/>
          <w:lang w:val="pt"/>
        </w:rPr>
        <w:t xml:space="preserve">its </w:t>
      </w:r>
      <w:r>
        <w:rPr>
          <w:rFonts w:asciiTheme="minorHAnsi" w:hAnsiTheme="minorHAnsi" w:cstheme="minorHAnsi"/>
          <w:sz w:val="22"/>
          <w:szCs w:val="22"/>
          <w:lang w:val="en-GB"/>
        </w:rPr>
        <w:t xml:space="preserve">foraging efficiency. As the risk allocation hypothesis imposes, a prey allocates time for foraging inversely proportionate to predation pressure </w:t>
      </w:r>
      <w:r>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hypothesis","type":"article-journal","volume":"153"},"uris":["http://www.mendeley.com/documents/?uuid=fdff2887-ada9-40bb-a7d8-1b0d216ae37c"]},{"id":"ITEM-2","itemData":{"DOI":"10.1007/s00265-006-0172-6","ISSN":"03405443","abstract":"Although there is ample evidence for the generality of foraging and predation trade-offs in aquatic systems, its application to terrestrial systems is less comprehensive. In this review, meta-analysis was used to analyze experiments on giving-up-densities in terrestrial systems to evaluate the overall magnitude of predation risk on foraging behavior and experimental conditions mediating its effect. Results indicate a large and significant decrease in foraging effort as a consequence of increased predation risk. Whether experiments were conducted under natural or artificial conditions produced no change in the overall effect predation had on foraging. Odor and live predators as a correlate of predation risk had weaker and nonsignificant effects compared to habitat characteristics. The meta-analysis suggests that the effect of predation risk on foraging behavior in terrestrial systems is strongly dependent on the type of predation risk being utilized. © Springer-Verlag 2006.","author":[{"dropping-particle":"","family":"Verdolin","given":"Jennifer L.","non-dropping-particle":"","parse-names":false,"suffix":""}],"container-title":"Behavioral Ecology and Sociobiology","id":"ITEM-2","issue":"4","issued":{"date-parts":[["2006"]]},"page":"457-464","title":"Meta-analysis of foraging and predation risk trade-offs in terrestrial systems","type":"article-journal","volume":"60"},"uris":["http://www.mendeley.com/documents/?uuid=c75bd29f-159b-4fbe-9876-8fb93baaad09"]}],"mendeley":{"formattedCitation":"(Lima and Bednekoff 1999; Verdolin 2006)","plainTextFormattedCitation":"(Lima and Bednekoff 1999; Verdolin 2006)","previouslyFormattedCitation":"(Lima and Bednekoff 1999; Verdolin 2006)"},"properties":{"noteIndex":0},"schema":"https://github.com/citation-style-language/schema/raw/master/csl-citation.json"}</w:instrText>
      </w:r>
      <w:r>
        <w:rPr>
          <w:rFonts w:asciiTheme="minorHAnsi" w:hAnsiTheme="minorHAnsi" w:cstheme="minorHAnsi"/>
          <w:sz w:val="22"/>
          <w:szCs w:val="22"/>
          <w:lang w:val="en-GB"/>
        </w:rPr>
        <w:fldChar w:fldCharType="separate"/>
      </w:r>
      <w:r w:rsidR="00022ECD" w:rsidRPr="00022ECD">
        <w:rPr>
          <w:rFonts w:asciiTheme="minorHAnsi" w:hAnsiTheme="minorHAnsi" w:cstheme="minorHAnsi"/>
          <w:noProof/>
          <w:sz w:val="22"/>
          <w:szCs w:val="22"/>
          <w:lang w:val="en-GB"/>
        </w:rPr>
        <w:t>(Lima and Bednekoff 1999; Verdolin 2006)</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Thus, in a given food resources–predation landscape</w:t>
      </w:r>
      <w:r>
        <w:rPr>
          <w:rFonts w:asciiTheme="minorHAnsi" w:hAnsiTheme="minorHAnsi" w:cstheme="minorHAnsi"/>
          <w:sz w:val="22"/>
          <w:szCs w:val="22"/>
          <w:lang w:val="pt"/>
        </w:rPr>
        <w:t>,</w:t>
      </w:r>
      <w:r>
        <w:rPr>
          <w:rFonts w:asciiTheme="minorHAnsi" w:hAnsiTheme="minorHAnsi" w:cstheme="minorHAnsi"/>
          <w:sz w:val="22"/>
          <w:szCs w:val="22"/>
          <w:lang w:val="en-GB"/>
        </w:rPr>
        <w:t xml:space="preserve"> a fixed foraging strategy is expected to evolve </w:t>
      </w:r>
      <w:r>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{"citationItems":[{"id":"ITEM-1","itemData":{"DOI":"10.5253/arde.v68.p83","ISSN":"0373-2266","author":[{"dropping-particle":"","family":"Krebs","given":"J. R.","non-dropping-particle":"","parse-names":false,"suffix":""}],"container-title":"Ardea","id":"ITEM-1","issued":{"date-parts":[["1980"]]},"page":"83-90","title":"Optimal foraging, predation risk and territory defence","type":"article-journal","volume":"68"},"uris":["http://www.mendeley.com/documents/?uuid=c05d88e2-abb3-483d-ae17-1719118fa49f"]}],"mendeley":{"formattedCitation":"(Krebs 1980)","plainTextFormattedCitation":"(Krebs 1980)","previouslyFormattedCitation":"(Krebs 1980)"},"properties":{"noteIndex":0},"schema":"https://github.com/citation-style-language/schema/raw/master/csl-citation.json"}</w:instrText>
      </w:r>
      <w:r>
        <w:rPr>
          <w:rFonts w:asciiTheme="minorHAnsi" w:hAnsiTheme="minorHAnsi" w:cstheme="minorHAnsi"/>
          <w:sz w:val="22"/>
          <w:szCs w:val="22"/>
          <w:lang w:val="en-GB"/>
        </w:rPr>
        <w:fldChar w:fldCharType="separate"/>
      </w:r>
      <w:r w:rsidR="00022ECD" w:rsidRPr="00022ECD">
        <w:rPr>
          <w:rFonts w:asciiTheme="minorHAnsi" w:hAnsiTheme="minorHAnsi" w:cstheme="minorHAnsi"/>
          <w:noProof/>
          <w:sz w:val="22"/>
          <w:szCs w:val="22"/>
          <w:lang w:val="en-GB"/>
        </w:rPr>
        <w:t>(Krebs 1980)</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xml:space="preserve">. However, increasing number of studies demonstrates a high variation in foraging strategies </w:t>
      </w:r>
      <w:r>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{"citationItems":[{"id":"ITEM-1","itemData":{"DOI":"10.1111/j.1600-0706.2013.00406.x","ISSN":"00301299","abstract":"Consistent intra-population variability in foraging behaviour is found among a wide range of taxa. Such foraging specialisations are common among marine vertebrates, yet it is not clear how individuals repeatedly locate prey or foraging sites at ocean-wide scales. Using GPS and time-depth loggers we studied the fine-scale foraging behaviour of central-place northern gannets Morus bassanus at two large colonies. First, we estimated the degree of consistency in individual foraging routes and sites across repeated trips. Second, we tested for individual differences in searching behaviour in response to environmental covariates using reaction norms, estimated from mixed effect models. Adult gannets tracked over multiple foraging trips showed repeatable between-individual differences in terminal points and departure angles of foraging trips, but low repeatability in trip duration and trip length. Importantly, individual birds showed highly repeatable dive locations, with consistently different environmental conditions (such as copepod abundance), suggesting a high degree of foraging site specialisation. Gannets also showed between-individual differences in searching behaviour along environmental gradients, such that individuals intensified searching under different conditions. Together these results suggest that widespread individual foraging consistency may represent specialisation and be linked with individual responses to environmental conditions. Such divergent searching behaviour could provide a mechanism by which consistent foraging behaviour arises and is maintained among animals that forage across large spatial scales. © 2013 The Authors.","author":[{"dropping-particle":"","family":"Patrick","given":"Samantha C.","non-dropping-particle":"","parse-names":false,"suffix":""},{"dropping-particle":"","family":"Bearhop","given":"Stuart","non-dropping-particle":"","parse-names":false,"suffix":""},{"dropping-particle":"","family":"Grémillet","given":"David","non-dropping-particle":"","parse-names":false,"suffix":""},{"dropping-particle":"","family":"Lescroël","given":"Amélie","non-dropping-particle":"","parse-names":false,"suffix":""},{"dropping-particle":"","family":"Grecian","given":"W. James","non-dropping-particle":"","parse-names":false,"suffix":""},{"dropping-particle":"","family":"Bodey","given":"Thomas W.","non-dropping-particle":"","parse-names":false,"suffix":""},{"dropping-particle":"","family":"Hamer","given":"Keith C.","non-dropping-particle":"","parse-names":false,"suffix":""},{"dropping-particle":"","family":"Wakefield","given":"Ewan","non-dropping-particle":"","parse-names":false,"suffix":""},{"dropping-particle":"","family":"Nuz","given":"Mélanie","non-dropping-particle":"Le","parse-names":false,"suffix":""},{"dropping-particle":"","family":"Votier","given":"Stephen C.","non-dropping-particle":"","parse-names":false,"suffix":""}],"container-title":"Oikos","id":"ITEM-1","issue":"1","issued":{"date-parts":[["2014"]]},"page":"33-40","title":"Individual differences in searching behaviour and spatial foraging consistency in a central place marine predator","type":"article-journal","volume":"123"},"uris":["http://www.mendeley.com/documents/?uuid=fe9e72d0-8246-4eaa-ac63-c3b4ab294d58"]},{"id":"ITEM-2","itemData":{"DOI":"10.3354/meps12151","ISSN":"01718630","abstract":"Individual specialisations have been suggested to improve foraging efficiency by optimising individual capacity (physiological and behavioural) and reducing intra-specific competition in exploiting prey resources. In this study, we investigated the inter-and intra-individual variation in behaviour in an opportunistic forager, the gentoo penguin Pygoscelis papua, at Kerguelen Island, southern Indian Ocean. We used complementary bio-logging and stable isotope analyses, coupled with morphometric measurements, to: (1) determine the inter-individual variation in morphology and foraging behaviour; (2) quantify intra-individual variation in foraging behaviour; (3) investigate the links between consistency in foraging, distances travelled and body condition; and (4) determine if dietary specialisations exist and are maintained outside the breeding season. We show that this species exhibits a large inter-individual variation in foraging behaviour, with some individuals conducting very short trips close to the colony while others travelled considerably farther. Heavier individuals tended to forage in more distant locations, dive deeper and perform more benthic dives. Individual specialisation in behaviour was low to moderate at the population level, yet some individuals were very consistent. The rate of travel was not influenced by consistency, and there was a lack of correlation between body condition and foraging consistency. High inter-individual variation in feeding ecology and dietary specialisations outside of a single breeding season were observed, consistent with gentoo penguins being Type 'B' generalists (i.e. generalist populations composed of individuals each consuming a different range of foods).","author":[{"dropping-particle":"","family":"Camprasse","given":"Elodie C.M.","non-dropping-particle":"","parse-names":false,"suffix":""},{"dropping-particle":"","family":"Cherel","given":"Yves","non-dropping-particle":"","parse-names":false,"suffix":""},{"dropping-particle":"","family":"Bustamante","given":"Paco","non-dropping-particle":"","parse-names":false,"suffix":""},{"dropping-particle":"","family":"Arnould","given":"John P.Y.","non-dropping-particle":"","parse-names":false,"suffix":""},{"dropping-particle":"","family":"Bost","given":"Charles André","non-dropping-particle":"","parse-names":false,"suffix":""}],"container-title":"Marine Ecology Progress Series","id":"ITEM-2","issue":"July","issued":{"date-parts":[["2017"]]},"page":"227-242","title":"Intra-and inter-individual variation in the foraging ecology of a generalist subantarctic seabird, the gentoo penguin","type":"article-journal","volume":"578"},"uris":["http://www.mendeley.com/documents/?uuid=92b85169-4268-45b9-93a0-027882fbb3db"]},{"id":"ITEM-3","itemData":{"DOI":"10.1093/beheco/arx014","ISSN":"14657279","abstract":"Differences between individuals in correlated responses across contexts have both functional and mechanistic implications. Such syndromes may have either beneficial or harmful consequences when novel changes in the environment occur. We used wild-caught house sparrows, Passer domesticus, to test in functionally relevant circumstances, whether neophobia (initial fear of novelty), habituation, and the learning of novel cues (discriminant learning) were linked by a common underlying mechanism or reflected separate processes. We repeatedly measured individual latencies to approach and also to feed from a familiar feeding site in 3 contexts: a baseline control for mild disturbance, in the presence of a novel object and to a novel cue indicating hidden food. House sparrows on average exhibited neophobia, habituated to novel objects, and learned to associate new cues with a reward. We also found evidence for consistent individual differences in both latencies within most contexts but there was no evidence of individual differences in plasticity with repeated trials within either the novel object (habituation) or novel cue (learning) contexts. There was also little or no correlation between the 2 latencies within individuals within contexts. Individual differences in latencies to arrive at the food station exhibited strong correlations across contexts but latencies to feed were weaker. These results suggest a personality trait that exists regardless of novelty but no syndrome affecting reactions to different forms of novelty. House sparrows appear strongly plastic when responding to novel environments. Such plasticity is likely favored by the varied consequences of novelty across environments.","author":[{"dropping-particle":"","family":"Moldoff","given":"David E.","non-dropping-particle":"","parse-names":false,"suffix":""},{"dropping-particle":"","family":"Westneat","given":"David F.","non-dropping-particle":"","parse-names":false,"suffix":""}],"container-title":"Behavioral Ecology","id":"ITEM-3","issue":"3","issued":{"date-parts":[["2017"]]},"page":"732-743","title":"Foraging sparrows exhibit individual differences but not a syndrome when responding to multiple kinds of novelty","type":"article-journal","volume":"28"},"uris":["http://www.mendeley.com/documents/?uuid=aecede80-04da-46e5-b31f-0605d748e2a3"]}],"mendeley":{"formattedCitation":"(Patrick et al. 2014; Camprasse et al. 2017; Moldoff and Westneat 2017)","plainTextFormattedCitation":"(Patrick et al. 2014; Camprasse et al. 2017; Moldoff and Westneat 2017)","previouslyFormattedCitation":"(Patrick et al. 2014; Camprasse et al. 2017; Moldoff and Westneat 2017)"},"properties":{"noteIndex":0},"schema":"https://github.com/citation-style-language/schema/raw/master/csl-citation.json"}</w:instrText>
      </w:r>
      <w:r>
        <w:rPr>
          <w:rFonts w:asciiTheme="minorHAnsi" w:hAnsiTheme="minorHAnsi" w:cstheme="minorHAnsi"/>
          <w:sz w:val="22"/>
          <w:szCs w:val="22"/>
          <w:lang w:val="en-GB"/>
        </w:rPr>
        <w:fldChar w:fldCharType="separate"/>
      </w:r>
      <w:r w:rsidR="00022ECD" w:rsidRPr="00022ECD">
        <w:rPr>
          <w:rFonts w:asciiTheme="minorHAnsi" w:hAnsiTheme="minorHAnsi" w:cstheme="minorHAnsi"/>
          <w:noProof/>
          <w:sz w:val="22"/>
          <w:szCs w:val="22"/>
          <w:lang w:val="en-GB"/>
        </w:rPr>
        <w:t>(Patrick et al. 2014; Camprasse et al. 2017; Moldoff and Westneat 2017)</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xml:space="preserve">, </w:t>
      </w:r>
      <w:r>
        <w:rPr>
          <w:rFonts w:asciiTheme="minorHAnsi" w:hAnsiTheme="minorHAnsi" w:cstheme="minorHAnsi"/>
          <w:sz w:val="22"/>
          <w:szCs w:val="22"/>
          <w:lang w:val="pt"/>
        </w:rPr>
        <w:t xml:space="preserve">which is </w:t>
      </w:r>
      <w:r>
        <w:rPr>
          <w:rFonts w:asciiTheme="minorHAnsi" w:hAnsiTheme="minorHAnsi" w:cstheme="minorHAnsi"/>
          <w:sz w:val="22"/>
          <w:szCs w:val="22"/>
          <w:lang w:val="en-GB"/>
        </w:rPr>
        <w:t xml:space="preserve">hard to explain using only food- and predation-based arguments </w:t>
      </w:r>
      <w:r>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{"citationItems":[{"id":"ITEM-1","itemData":{"DOI":"10.1073/pnas.98.3.1089","ISSN":"00278424","abstract":"We test the predictive value of the main energetic currencies used in foraging theory using starlings that choose between two foraging modes (walking versus flying). Walking is low-cost, low-yield, whereas flying is the opposite. We fixed experimentally, at 11 different values, the amount of flight required to get one food reward, and for each flight cost value, we titrated the amount of walking until the birds showed indifference between foraging modes. We then compared the indifference points to those predicted by gross rate of gain over time, net rate of gain over time, and the ratio of gain to expenditure (efficiency). The results for the choice between modes show strong qualitative and quantitative support for net rate of gain over time over the alternatives. However, the birds foraged for only a fraction of the available time, indicating that the choice between foraging and resting could not be explained by any of these currencies. We suggest that this discrepancy could be accounted for functionally because nonenergetic factors such as predation risk may differ between resting and foraging in any mode but may not differ much between foraging modes, hence releasing the choice between foraging modes from the influence of such factors. Alternatively, the discrepancy may be attributable to the use of predictable (rather than stochastic) ratios of effort per prey in our experiment, and it may thus be better understood with mechanistic rather than functional arguments.","author":[{"dropping-particle":"","family":"Bautista","given":"Luis M.","non-dropping-particle":"","parse-names":false,"suffix":""},{"dropping-particle":"","family":"Tinbergen","given":"Joost","non-dropping-particle":"","parse-names":false,"suffix":""},{"dropping-particle":"","family":"Kacelnik","given":"Alejandro","non-dropping-particle":"","parse-names":false,"suffix":""}],"container-title":"Proceedings of the National Academy of Sciences of the United States of America","id":"ITEM-1","issue":"3","issued":{"date-parts":[["2001"]]},"page":"1089-1094","title":"To walk or to fly? How birds choose among foraging modes","type":"article-journal","volume":"98"},"uris":["http://www.mendeley.com/documents/?uuid=b8723a0e-dd9b-4ae0-9314-a6a475322268"]}],"mendeley":{"formattedCitation":"(Bautista et al. 2001)","plainTextFormattedCitation":"(Bautista et al. 2001)","previouslyFormattedCitation":"(Bautista et al. 2001)"},"properties":{"noteIndex":0},"schema":"https://github.com/citation-style-language/schema/raw/master/csl-citation.json"}</w:instrText>
      </w:r>
      <w:r>
        <w:rPr>
          <w:rFonts w:asciiTheme="minorHAnsi" w:hAnsiTheme="minorHAnsi" w:cstheme="minorHAnsi"/>
          <w:sz w:val="22"/>
          <w:szCs w:val="22"/>
          <w:lang w:val="en-GB"/>
        </w:rPr>
        <w:fldChar w:fldCharType="separate"/>
      </w:r>
      <w:r w:rsidR="00022ECD" w:rsidRPr="00022ECD">
        <w:rPr>
          <w:rFonts w:asciiTheme="minorHAnsi" w:hAnsiTheme="minorHAnsi" w:cstheme="minorHAnsi"/>
          <w:noProof/>
          <w:sz w:val="22"/>
          <w:szCs w:val="22"/>
          <w:lang w:val="en-GB"/>
        </w:rPr>
        <w:t>(Bautista et al. 2001)</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xml:space="preserve">.  </w:t>
      </w:r>
    </w:p>
    <w:p w:rsidR="005939CD" w:rsidRDefault="00C24910">
      <w:pPr>
        <w:pStyle w:val="NormalnyWeb"/>
        <w:spacing w:line="480" w:lineRule="auto"/>
        <w:jc w:val="both"/>
        <w:rPr>
          <w:lang w:val="en-GB"/>
        </w:rPr>
      </w:pPr>
      <w:r>
        <w:rPr>
          <w:rFonts w:asciiTheme="minorHAnsi" w:hAnsiTheme="minorHAnsi" w:cstheme="minorHAnsi"/>
          <w:sz w:val="22"/>
          <w:szCs w:val="22"/>
          <w:lang w:val="en-GB"/>
        </w:rPr>
        <w:t xml:space="preserve">Variation in foraging strategies of individuals remains an intriguing topic </w:t>
      </w:r>
      <w:r>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{"citationItems":[{"id":"ITEM-1","itemData":{"DOI":"10.1016/j.tree.2009.07.013","author":[{"dropping-particle":"","family":"Dingemanse","given":"Niels J","non-dropping-particle":"","parse-names":false,"suffix":""},{"dropping-particle":"","family":"Kazem","given":"Anahita J N","non-dropping-particle":"","parse-names":false,"suffix":""},{"dropping-particle":"","family":"Reale","given":"Denis","non-dropping-particle":"","parse-names":false,"suffix":""},{"dropping-particle":"","family":"Wright","given":"Jonathan","non-dropping-particle":"","parse-names":false,"suffix":""}],"container-title":"Trends in Ecology &amp; Evolution","id":"ITEM-1","issue":"2","issued":{"date-parts":[["2009"]]},"page":"81-89","title":"Behavioural reaction norms: animal personality meets individual plasticity","type":"article-journal","volume":"25"},"uris":["http://www.mendeley.com/documents/?uuid=da70d65a-5461-4630-8fe7-d7533b8b4356"]},{"id":"ITEM-2","itemData":{"DOI":"10.1093/beheco/aru131","ISSN":"14657279","abstract":"In captivity, personality types differ in behavioral flexibility: \"fast\" (neophilic, exploratory, and aggressive) types quickly form routines, whereas \"slow\" types continually adjust their behavior with environmental changes. If these differences extend to pertinent natural environmental changes, which indicate changing predation or starvation threat, then personality may reflect important variation in how animals manage risk. We examined whether personality traits classified in captivity would predict the behavioral flexibility of blue tits Cyanistes caeruleus as they foraged in the wild. Behavioral flexibility was defined as the tendency to adjust feeder use with changing winter air temperature, an indicator of starvation risk. At the population level, birds reduced their feeder use on warm days. Individuals, though, varied widely, with some instead using feeders at a relatively fixed, temperature-independent rate. Sex and size, correlates of dominance in blue tits, did not predict behavioral flexibility. Instead, behavioral flexibility was predicted by age and 2 personality traits: old, neophobic, and exploratory birds were more behaviorally flexible than young, neophilic, and nonexploratory birds. Our findings suggest that personality types differ in how they use information about their environments and hence cope with environmental change.","author":[{"dropping-particle":"","family":"Herborn","given":"Katherine A.","non-dropping-particle":"","parse-names":false,"suffix":""},{"dropping-particle":"","family":"Heidinger","given":"Britt J.","non-dropping-particle":"","parse-names":false,"suffix":""},{"dropping-particle":"","family":"Alexander","given":"Lucille","non-dropping-particle":"","parse-names":false,"suffix":""},{"dropping-particle":"","family":"Arnold","given":"Kathryn E.","non-dropping-particle":"","parse-names":false,"suffix":""}],"container-title":"Behavioral Ecology","id":"ITEM-2","issue":"6","issued":{"date-parts":[["2014"]]},"page":"1374-1379","title":"Personality predicts behavioral flexibility in a fluctuating, natural environment","type":"article-journal","volume":"25"},"uris":["http://www.mendeley.com/documents/?uuid=8b6c1133-8531-4d2d-953b-7bd9aa6be47d"]},{"id":"ITEM-3","itemData":{"author":[{"dropping-particle":"","family":"Alonzo","given":"Suzanne H","non-dropping-particle":"","parse-names":false,"suffix":""}],"container-title":"Current Opinion in Behavioral Sciences","id":"ITEM-3","issued":{"date-parts":[["2015"]]},"page":"69-75","publisher":"Elsevier Ltd","title":"Integrating the how and why of within-individual and among-individual variation and plasticity in behavior","type":"article-journal","volume":"6"},"uris":["http://www.mendeley.com/documents/?uuid=bbaef551-fcd3-4244-bcc9-91db80ef5333"]},{"id":"ITEM-4","itemData":{"DOI":"10.1007/s00442-016-3648-8","ISSN":"1432-1939","author":[{"dropping-particle":"","family":"Toscano","given":"Benjamin J","non-dropping-particle":"","parse-names":false,"suffix":""},{"dropping-particle":"","family":"Gownaris","given":"Natasha J","non-dropping-particle":"","parse-names":false,"suffix":""},{"dropping-particle":"","family":"Heerhartz","given":"Sarah M","non-dropping-particle":"","parse-names":false,"suffix":""}],"container-title":"Oecologia","id":"ITEM-4","issued":{"date-parts":[["2016"]]},"publisher":"Springer Berlin Heidelberg","title":"Personality , foraging behavior and specialization: integrating behavioral and food web ecology at the individual level","type":"article-journal"},"uris":["http://www.mendeley.com/documents/?uuid=a58ea4c1-9a9b-4a0d-919a-b6aafbfcedae"]},{"id":"ITEM-5","itemData":{"DOI":"10.1016/j.anbehav.2008.12.022","ISSN":"0003-3472","author":[{"dropping-particle":"","family":"Bell","given":"Alison M","non-dropping-particle":"","parse-names":false,"suffix":""},{"dropping-particle":"","family":"Hankison","given":"Shala J","non-dropping-particle":"","parse-names":false,"suffix":""},{"dropping-particle":"","family":"Laskowski","given":"Kate L","non-dropping-particle":"","parse-names":false,"suffix":""}],"container-title":"Animal Behaviour","id":"ITEM-5","issue":"4","issued":{"date-parts":[["2009"]]},"page":"771-783","publisher":"Elsevier Ltd","title":"The repeatability of behaviour: a meta-analysis","type":"article-journal","volume":"77"},"uris":["http://www.mendeley.com/documents/?uuid=7022c3b1-fec4-42af-8acf-175df659c8a2"]},{"id":"ITEM-6","itemData":{"DOI":"10.1111/j.1420-9101.2007.01300.x","ISSN":"1010061X","PMID":"17465894","abstract":"The ability of individual organisms to alter morphological and life-history traits in response to the conditions they experience is an example of phenotypic plasticity which is fundamental to any population's ability to deal with short-term environmental change. We currently know little about the prevalence, and evolutionary and ecological causes and consequences of variation in life history plasticity in the wild. Here we outline an analytical framework, utilizing the reaction norm concept and random regression statistical models, to assess the between-individual variation in life history plasticity that may underlie population level responses to the environment at both phenotypic and genetic levels. We discuss applications of this framework to date in wild vertebrate populations, and illustrate how natural selection and ecological constraint may alter a population's response to the environment through their effects at the individual level. Finally, we present future directions and challenges for research into individual plasticity. © 2007 The Authors.","author":[{"dropping-particle":"","family":"Nussey","given":"Daniel H.","non-dropping-particle":"","parse-names":false,"suffix":""},{"dropping-particle":"","family":"Wilson","given":"A. J.","non-dropping-particle":"","parse-names":false,"suffix":""},{"dropping-particle":"","family":"Brommer","given":"J. E.","non-dropping-particle":"","parse-names":false,"suffix":""}],"container-title":"Journal of Evolutionary Biology","id":"ITEM-6","issue":"3","issued":{"date-parts":[["2007"]]},"page":"831-844","title":"The evolutionary ecology of individual phenotypic plasticity in wild populations","type":"article-journal","volume":"20"},"uris":["http://www.mendeley.com/documents/?uuid=dd16dff3-3936-4d61-af62-7190f141dcc6"]}],"mendeley":{"formattedCitation":"(Nussey et al. 2007; Bell et al. 2009; Dingemanse et al. 2009; Herborn et al. 2014; Alonzo 2015; Toscano et al. 2016)","plainTextFormattedCitation":"(Nussey et al. 2007; Bell et al. 2009; Dingemanse et al. 2009; Herborn et al. 2014; Alonzo 2015; Toscano et al. 2016)","previouslyFormattedCitation":"(Nussey et al. 2007; Bell et al. 2009; Dingemanse et al. 2009; Herborn et al. 2014; Alonzo 2015; Toscano et al. 2016)"},"properties":{"noteIndex":0},"schema":"https://github.com/citation-style-language/schema/raw/master/csl-citation.json"}</w:instrText>
      </w:r>
      <w:r>
        <w:rPr>
          <w:rFonts w:asciiTheme="minorHAnsi" w:hAnsiTheme="minorHAnsi" w:cstheme="minorHAnsi"/>
          <w:sz w:val="22"/>
          <w:szCs w:val="22"/>
          <w:lang w:val="en-GB"/>
        </w:rPr>
        <w:fldChar w:fldCharType="separate"/>
      </w:r>
      <w:r w:rsidR="00022ECD" w:rsidRPr="00022ECD">
        <w:rPr>
          <w:rFonts w:asciiTheme="minorHAnsi" w:hAnsiTheme="minorHAnsi" w:cstheme="minorHAnsi"/>
          <w:noProof/>
          <w:sz w:val="22"/>
          <w:szCs w:val="22"/>
          <w:lang w:val="en-GB"/>
        </w:rPr>
        <w:t>(Nussey et al. 2007; Bell et al. 2009; Dingemanse et al. 2009; Herborn et al. 2014; Alonzo 2015; Toscano et al. 2016)</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xml:space="preserve">. Existing evidence demonstrates not only the variation </w:t>
      </w:r>
      <w:r>
        <w:rPr>
          <w:rFonts w:asciiTheme="minorHAnsi" w:hAnsiTheme="minorHAnsi" w:cstheme="minorHAnsi"/>
          <w:i/>
          <w:iCs/>
          <w:sz w:val="22"/>
          <w:szCs w:val="22"/>
          <w:lang w:val="en-GB"/>
        </w:rPr>
        <w:t>per se</w:t>
      </w:r>
      <w:r>
        <w:rPr>
          <w:rFonts w:asciiTheme="minorHAnsi" w:hAnsiTheme="minorHAnsi" w:cstheme="minorHAnsi"/>
          <w:sz w:val="22"/>
          <w:szCs w:val="22"/>
          <w:lang w:val="en-GB"/>
        </w:rPr>
        <w:t xml:space="preserve"> but consistent inter-individual differences in the average level of a behaviour displayed across a range of contexts (</w:t>
      </w:r>
      <w:r>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author":[{"dropping-particle":"","family":"Carere","given":"Claudio","non-dropping-particle":"","parse-names":false,"suffix":""},{"dropping-particle":"","family":"Maestripieri","given":"Dario","non-dropping-particle":"","parse-names":false,"suffix":""}],"editor":[{"dropping-particle":"","family":"Carere","given":"Claudio","non-dropping-particle":"","parse-names":false,"suffix":""},{"dropping-particle":"","family":"Maestripieri","given":"Dario","non-dropping-particle":"","parse-names":false,"suffix":""}],"id":"ITEM-1","issued":{"date-parts":[["2013"]]},"publisher":"The University of Chicago Press","title":"No Animal Personalities","type":"book"},"uris":["http://www.mendeley.com/documents/?uuid=881fa4e7-383f-44b5-9f88-6321ba658327"]}],"mendeley":{"formattedCitation":"(Carere and Maestripieri 2013)","manualFormatting":"Carere and Maestripieri 2013)","plainTextFormattedCitation":"(Carere and Maestripieri 2013)","previouslyFormattedCitation":"(Carere and Maestripieri 2013)"},"properties":{"noteIndex":0},"schema":"https://github.com/citation-style-language/schema/raw/master/csl-citation.json"}</w:instrText>
      </w:r>
      <w:r>
        <w:rPr>
          <w:rFonts w:asciiTheme="minorHAnsi" w:hAnsiTheme="minorHAnsi" w:cstheme="minorHAnsi"/>
          <w:sz w:val="22"/>
          <w:szCs w:val="22"/>
          <w:lang w:val="en-GB"/>
        </w:rPr>
        <w:fldChar w:fldCharType="separate"/>
      </w:r>
      <w:r>
        <w:rPr>
          <w:rFonts w:asciiTheme="minorHAnsi" w:hAnsiTheme="minorHAnsi" w:cstheme="minorHAnsi"/>
          <w:noProof/>
          <w:sz w:val="22"/>
          <w:szCs w:val="22"/>
          <w:lang w:val="en-GB"/>
        </w:rPr>
        <w:t>Carere and Maestripieri 2013)</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xml:space="preserve"> and in response to environmental variation (</w:t>
      </w:r>
      <w:r>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{"citationItems":[{"id":"ITEM-1","itemData":{"DOI":"10.1111/j.1420-9101.2007.01300.x","ISSN":"1010061X","PMID":"17465894","abstract":"The ability of individual organisms to alter morphological and life-history traits in response to the conditions they experience is an example of phenotypic plasticity which is fundamental to any population's ability to deal with short-term environmental change. We currently know little about the prevalence, and evolutionary and ecological causes and consequences of variation in life history plasticity in the wild. Here we outline an analytical framework, utilizing the reaction norm concept and random regression statistical models, to assess the between-individual variation in life history plasticity that may underlie population level responses to the environment at both phenotypic and genetic levels. We discuss applications of this framework to date in wild vertebrate populations, and illustrate how natural selection and ecological constraint may alter a population's response to the environment through their effects at the individual level. Finally, we present future directions and challenges for research into individual plasticity. © 2007 The Authors.","author":[{"dropping-particle":"","family":"Nussey","given":"Daniel H.","non-dropping-particle":"","parse-names":false,"suffix":""},{"dropping-particle":"","family":"Wilson","given":"A. J.","non-dropping-particle":"","parse-names":false,"suffix":""},{"dropping-particle":"","family":"Brommer","given":"J. E.","non-dropping-particle":"","parse-names":false,"suffix":""}],"container-title":"Journal of Evolutionary Biology","id":"ITEM-1","issue":"3","issued":{"date-parts":[["2007"]]},"page":"831-844","title":"The evolutionary ecology of individual phenotypic plasticity in wild populations","type":"article-journal","volume":"20"},"uris":["http://www.mendeley.com/documents/?uuid=dd16dff3-3936-4d61-af62-7190f141dcc6"]},{"id":"ITEM-2","itemData":{"DOI":"10.1016/j.tree.2009.07.013","author":[{"dropping-particle":"","family":"Dingemanse","given":"Niels J","non-dropping-particle":"","parse-names":false,"suffix":""},{"dropping-particle":"","family":"Kazem","given":"Anahita J N","non-dropping-particle":"","parse-names":false,"suffix":""},{"dropping-particle":"","family":"Reale","given":"Denis","non-dropping-particle":"","parse-names":false,"suffix":""},{"dropping-particle":"","family":"Wright","given":"Jonathan","non-dropping-particle":"","parse-names":false,"suffix":""}],"container-title":"Trends in Ecology &amp; Evolution","id":"ITEM-2","issue":"2","issued":{"date-parts":[["2009"]]},"page":"81-89","title":"Behavioural reaction norms: animal personality meets individual plasticity","type":"article-journal","volume":"25"},"uris":["http://www.mendeley.com/documents/?uuid=da70d65a-5461-4630-8fe7-d7533b8b4356"]}],"mendeley":{"formattedCitation":"(Nussey et al. 2007; Dingemanse et al. 2009)","manualFormatting":"Nussey et al. 2007; Dingemanse et al. 2009)","plainTextFormattedCitation":"(Nussey et al. 2007; Dingemanse et al. 2009)","previouslyFormattedCitation":"(Nussey et al. 2007; Dingemanse et al. 2009)"},"properties":{"noteIndex":0},"schema":"https://github.com/citation-style-language/schema/raw/master/csl-citation.json"}</w:instrText>
      </w:r>
      <w:r>
        <w:rPr>
          <w:rFonts w:asciiTheme="minorHAnsi" w:hAnsiTheme="minorHAnsi" w:cstheme="minorHAnsi"/>
          <w:sz w:val="22"/>
          <w:szCs w:val="22"/>
          <w:lang w:val="en-GB"/>
        </w:rPr>
        <w:fldChar w:fldCharType="separate"/>
      </w:r>
      <w:r>
        <w:rPr>
          <w:rFonts w:asciiTheme="minorHAnsi" w:hAnsiTheme="minorHAnsi" w:cstheme="minorHAnsi"/>
          <w:noProof/>
          <w:sz w:val="22"/>
          <w:szCs w:val="22"/>
          <w:lang w:val="en-GB"/>
        </w:rPr>
        <w:t>Nussey et al. 2007; Dingemanse et al. 2009)</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xml:space="preserve">. Within a species/population, individuals usually represent a full continuum of a given behavioural display, with two polar-opposite phenotypes (e.g. high and low exploratory behaviour) and various intermediate forms in between. Importantly, fitness advantages of the contrasting behaviours may differ in various contexts, sometimes dramatically </w:t>
      </w:r>
      <w:r>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{"citationItems":[{"id":"ITEM-1","itemData":{"DOI":"10.1093/beheco/arm144","author":[{"dropping-particle":"","family":"Smith","given":"Brian R","non-dropping-particle":"","parse-names":false,"suffix":""},{"dropping-particle":"","family":"Blumstein","given":"Daniel T","non-dropping-particle":"","parse-names":false,"suffix":""}],"container-title":"Behavioral Ecology","id":"ITEM-1","issue":"January","issued":{"date-parts":[["2008"]]},"title":"Fitness consequences of personality: a meta-analysis","type":"article-journal"},"uris":["http://www.mendeley.com/documents/?uuid=b3da6216-bb68-4957-a747-f38ec9f1e99f"]}],"mendeley":{"formattedCitation":"(Smith and Blumstein 2008)","plainTextFormattedCitation":"(Smith and Blumstein 2008)","previouslyFormattedCitation":"(Smith and Blumstein 2008)"},"properties":{"noteIndex":0},"schema":"https://github.com/citation-style-language/schema/raw/master/csl-citation.json"}</w:instrText>
      </w:r>
      <w:r>
        <w:rPr>
          <w:rFonts w:asciiTheme="minorHAnsi" w:hAnsiTheme="minorHAnsi" w:cstheme="minorHAnsi"/>
          <w:sz w:val="22"/>
          <w:szCs w:val="22"/>
          <w:lang w:val="en-GB"/>
        </w:rPr>
        <w:fldChar w:fldCharType="separate"/>
      </w:r>
      <w:r w:rsidR="00022ECD" w:rsidRPr="00022ECD">
        <w:rPr>
          <w:rFonts w:asciiTheme="minorHAnsi" w:hAnsiTheme="minorHAnsi" w:cstheme="minorHAnsi"/>
          <w:noProof/>
          <w:sz w:val="22"/>
          <w:szCs w:val="22"/>
          <w:lang w:val="en-GB"/>
        </w:rPr>
        <w:t>(Smith and Blumstein 2008)</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xml:space="preserve">. For example, highly exploratory behaviour </w:t>
      </w:r>
      <w:r>
        <w:rPr>
          <w:rFonts w:asciiTheme="minorHAnsi" w:hAnsiTheme="minorHAnsi" w:cstheme="minorHAnsi"/>
          <w:sz w:val="22"/>
          <w:szCs w:val="22"/>
          <w:lang w:val="pt"/>
        </w:rPr>
        <w:t>can</w:t>
      </w:r>
      <w:r>
        <w:rPr>
          <w:rFonts w:asciiTheme="minorHAnsi" w:hAnsiTheme="minorHAnsi" w:cstheme="minorHAnsi"/>
          <w:sz w:val="22"/>
          <w:szCs w:val="22"/>
          <w:lang w:val="en-GB"/>
        </w:rPr>
        <w:t xml:space="preserve"> </w:t>
      </w:r>
      <w:r>
        <w:rPr>
          <w:rFonts w:asciiTheme="minorHAnsi" w:hAnsiTheme="minorHAnsi" w:cstheme="minorHAnsi"/>
          <w:sz w:val="22"/>
          <w:szCs w:val="22"/>
          <w:lang w:val="pt"/>
        </w:rPr>
        <w:t>be advantageous</w:t>
      </w:r>
      <w:r>
        <w:rPr>
          <w:rFonts w:asciiTheme="minorHAnsi" w:hAnsiTheme="minorHAnsi" w:cstheme="minorHAnsi"/>
          <w:sz w:val="22"/>
          <w:szCs w:val="22"/>
          <w:lang w:val="en-GB"/>
        </w:rPr>
        <w:t xml:space="preserve"> </w:t>
      </w:r>
      <w:r>
        <w:rPr>
          <w:rFonts w:asciiTheme="minorHAnsi" w:hAnsiTheme="minorHAnsi" w:cstheme="minorHAnsi"/>
          <w:sz w:val="22"/>
          <w:szCs w:val="22"/>
          <w:lang w:val="pt"/>
        </w:rPr>
        <w:t xml:space="preserve">in conditions of resource </w:t>
      </w:r>
      <w:r>
        <w:rPr>
          <w:rFonts w:asciiTheme="minorHAnsi" w:hAnsiTheme="minorHAnsi" w:cstheme="minorHAnsi"/>
          <w:sz w:val="22"/>
          <w:szCs w:val="22"/>
          <w:lang w:val="en-GB"/>
        </w:rPr>
        <w:t xml:space="preserve">competition but disadvantageous in </w:t>
      </w:r>
      <w:r>
        <w:rPr>
          <w:rFonts w:asciiTheme="minorHAnsi" w:hAnsiTheme="minorHAnsi" w:cstheme="minorHAnsi"/>
          <w:sz w:val="22"/>
          <w:szCs w:val="22"/>
          <w:lang w:val="pt"/>
        </w:rPr>
        <w:t xml:space="preserve">a </w:t>
      </w:r>
      <w:r>
        <w:rPr>
          <w:rFonts w:asciiTheme="minorHAnsi" w:hAnsiTheme="minorHAnsi" w:cstheme="minorHAnsi"/>
          <w:sz w:val="22"/>
          <w:szCs w:val="22"/>
          <w:lang w:val="en-GB"/>
        </w:rPr>
        <w:t>high</w:t>
      </w:r>
      <w:r>
        <w:rPr>
          <w:rFonts w:asciiTheme="minorHAnsi" w:hAnsiTheme="minorHAnsi" w:cstheme="minorHAnsi"/>
          <w:sz w:val="22"/>
          <w:szCs w:val="22"/>
          <w:lang w:val="pt"/>
        </w:rPr>
        <w:t>er</w:t>
      </w:r>
      <w:r>
        <w:rPr>
          <w:rFonts w:asciiTheme="minorHAnsi" w:hAnsiTheme="minorHAnsi" w:cstheme="minorHAnsi"/>
          <w:sz w:val="22"/>
          <w:szCs w:val="22"/>
          <w:lang w:val="en-GB"/>
        </w:rPr>
        <w:t xml:space="preserve"> predation pressure</w:t>
      </w:r>
      <w:r>
        <w:rPr>
          <w:rFonts w:asciiTheme="minorHAnsi" w:hAnsiTheme="minorHAnsi" w:cstheme="minorHAnsi"/>
          <w:sz w:val="22"/>
          <w:szCs w:val="22"/>
          <w:lang w:val="pt"/>
        </w:rPr>
        <w:t xml:space="preserve"> environment</w:t>
      </w:r>
      <w:r>
        <w:rPr>
          <w:rFonts w:asciiTheme="minorHAnsi" w:hAnsiTheme="minorHAnsi" w:cstheme="minorHAnsi"/>
          <w:sz w:val="22"/>
          <w:szCs w:val="22"/>
          <w:lang w:val="en-GB"/>
        </w:rPr>
        <w:t xml:space="preserve"> </w:t>
      </w:r>
      <w:r>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{"citationItems":[{"id":"ITEM-1","itemData":{"DOI":"10.1111/j.1469-185X.2007.00010.x","ISSN":"14647931","PMID":"17437562","abstract":"Temperament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 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 © 2007 Cambridge Philosophical Society.","author":[{"dropping-particle":"","family":"Réale","given":"Denis","non-dropping-particle":"","parse-names":false,"suffix":""},{"dropping-particle":"","family":"Reader","given":"Simon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Reviews","id":"ITEM-1","issue":"2","issued":{"date-parts":[["2007"]]},"page":"291-318","title":"Integrating animal temperament within ecology and evolution","type":"article-journal","volume":"82"},"uris":["http://www.mendeley.com/documents/?uuid=7b4528c1-810c-46d1-9f1a-094602912760"]},{"id":"ITEM-2","itemData":{"DOI":"10.1098/rspb.2011.2227","author":[{"dropping-particle":"","family":"Quinn","given":"J L","non-dropping-particle":"","parse-names":false,"suffix":""},{"dropping-particle":"","family":"Cole","given":"E F","non-dropping-particle":"","parse-names":false,"suffix":""},{"dropping-particle":"","family":"Bates","given":"J","non-dropping-particle":"","parse-names":false,"suffix":""},{"dropping-particle":"","family":"Payne","given":"R W","non-dropping-particle":"","parse-names":false,"suffix":""},{"dropping-particle":"","family":"Cresswell","given":"W","non-dropping-particle":"","parse-names":false,"suffix":""}],"container-title":"Proceedings of the Royal Society B","id":"ITEM-2","issued":{"date-parts":[["2012"]]},"page":"1919-1926","title":"Personality predicts individual responsiveness to the risks of starvation and predation","type":"article-journal","volume":"279"},"uris":["http://www.mendeley.com/documents/?uuid=643eb687-6ce6-4dd7-9c0e-0c25acec820f"]},{"id":"ITEM-3","itemData":{"DOI":"10.1093/beheco/arm144","author":[{"dropping-particle":"","family":"Smith","given":"Brian R","non-dropping-particle":"","parse-names":false,"suffix":""},{"dropping-particle":"","family":"Blumstein","given":"Daniel T","non-dropping-particle":"","parse-names":false,"suffix":""}],"container-title":"Behavioral Ecology","id":"ITEM-3","issue":"January","issued":{"date-parts":[["2008"]]},"title":"Fitness consequences of personality: a meta-analysis","type":"article-journal"},"uris":["http://www.mendeley.com/documents/?uuid=b3da6216-bb68-4957-a747-f38ec9f1e99f"]},{"id":"ITEM-4","itemData":{"DOI":"10.1111/j.1461-0248.2004.00618.x","ISSN":"1461023X","abstract":"Individual humans, and members of diverse other species, show consistent differences in aggressiveness, shyness, sociability and activity. Such intraspecific differences in behaviour have been widely assumed to be non-adaptive variation surrounding (possibly) adaptive population-average behaviour. Nevertheless, in keeping with recent calls to apply Darwinian reasoning to ever-finer scales of biological variation, we sketch the fundamentals of an adaptive theory of consistent individual differences in behaviour. Our thesis is based on the notion that such 'personality differences' can be selected for if fitness payoffs are dependent on both the frequencies with which competing strategies are played and an individual's behavioural history. To this end, we review existing models that illustrate this and propose a game theoretic approach to analyzing personality differences that is both dynamic and state-dependent. Our motivation is to provide insights into the evolution and maintenance of an apparently common animal trait: personality, which has far reaching ecological and evolutionary implications.","author":[{"dropping-particle":"","family":"Dall","given":"Sasha R.X.","non-dropping-particle":"","parse-names":false,"suffix":""},{"dropping-particle":"","family":"Houston","given":"Alasdair I.","non-dropping-particle":"","parse-names":false,"suffix":""},{"dropping-particle":"","family":"McNamara","given":"John M.","non-dropping-particle":"","parse-names":false,"suffix":""}],"container-title":"Ecology Letters","id":"ITEM-4","issue":"8","issued":{"date-parts":[["2004"]]},"page":"734-739","title":"The behavioural ecology of personality: consistent individual differences from an adaptive perspective","type":"article-journal","volume":"7"},"uris":["http://www.mendeley.com/documents/?uuid=10f4090b-266e-496b-a690-daac414273d0"]}],"mendeley":{"formattedCitation":"(Dall et al. 2004; Réale et al. 2007; Smith and Blumstein 2008; Quinn et al. 2012b)","plainTextFormattedCitation":"(Dall et al. 2004; Réale et al. 2007; Smith and Blumstein 2008; Quinn et al. 2012b)","previouslyFormattedCitation":"(Dall et al. 2004; Réale et al. 2007; Smith and Blumstein 2008; Quinn et al. 2012b)"},"properties":{"noteIndex":0},"schema":"https://github.com/citation-style-language/schema/raw/master/csl-citation.json"}</w:instrText>
      </w:r>
      <w:r>
        <w:rPr>
          <w:rFonts w:asciiTheme="minorHAnsi" w:hAnsiTheme="minorHAnsi" w:cstheme="minorHAnsi"/>
          <w:sz w:val="22"/>
          <w:szCs w:val="22"/>
          <w:lang w:val="en-GB"/>
        </w:rPr>
        <w:fldChar w:fldCharType="separate"/>
      </w:r>
      <w:r w:rsidR="00022ECD" w:rsidRPr="00022ECD">
        <w:rPr>
          <w:rFonts w:asciiTheme="minorHAnsi" w:hAnsiTheme="minorHAnsi" w:cstheme="minorHAnsi"/>
          <w:noProof/>
          <w:sz w:val="22"/>
          <w:szCs w:val="22"/>
          <w:lang w:val="en-GB"/>
        </w:rPr>
        <w:t>(Dall et al. 2004; Réale et al. 2007; Smith and Blumstein 2008; Quinn et al. 2012b)</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xml:space="preserve">. Despite growing number of studies showing both directly and indirectly behavioural variability in the performance of various strategies, it is still not entirely recognized what could be fitness consequences of </w:t>
      </w:r>
      <w:r>
        <w:rPr>
          <w:rFonts w:asciiTheme="minorHAnsi" w:hAnsiTheme="minorHAnsi" w:cstheme="minorHAnsi"/>
          <w:sz w:val="22"/>
          <w:szCs w:val="22"/>
          <w:lang w:val="en-US"/>
        </w:rPr>
        <w:t>variation in these additional dimensions of behavior</w:t>
      </w:r>
      <w:r>
        <w:rPr>
          <w:rFonts w:asciiTheme="minorHAnsi" w:hAnsiTheme="minorHAnsi" w:cstheme="minorHAnsi"/>
          <w:sz w:val="22"/>
          <w:szCs w:val="22"/>
          <w:lang w:val="en-GB"/>
        </w:rPr>
        <w:t xml:space="preserve"> in foraging  performance.</w:t>
      </w:r>
    </w:p>
    <w:p w:rsidR="005939CD" w:rsidRDefault="00C24910">
      <w:pPr>
        <w:pStyle w:val="NormalnyWeb"/>
        <w:spacing w:line="480" w:lineRule="auto"/>
        <w:jc w:val="both"/>
        <w:rPr>
          <w:rFonts w:asciiTheme="minorHAnsi" w:hAnsiTheme="minorHAnsi" w:cstheme="minorHAnsi"/>
          <w:sz w:val="22"/>
          <w:szCs w:val="22"/>
          <w:highlight w:val="yellow"/>
          <w:lang w:val="pt"/>
        </w:rPr>
      </w:pPr>
      <w:r>
        <w:rPr>
          <w:rFonts w:asciiTheme="minorHAnsi" w:hAnsiTheme="minorHAnsi" w:cstheme="minorHAnsi"/>
          <w:sz w:val="22"/>
          <w:szCs w:val="22"/>
          <w:lang w:val="pt"/>
        </w:rPr>
        <w:lastRenderedPageBreak/>
        <w:t xml:space="preserve">The fitness payoffs of a behavior is likely to be a main source of the observed variation in foraging strategy </w:t>
      </w:r>
      <w:r>
        <w:rPr>
          <w:rFonts w:cstheme="minorHAnsi"/>
          <w:lang w:val="en-GB"/>
        </w:rPr>
        <w:fldChar w:fldCharType="begin" w:fldLock="1"/>
      </w:r>
      <w:r w:rsidR="00022ECD">
        <w:rPr>
          <w:rFonts w:asciiTheme="minorHAnsi" w:hAnsiTheme="minorHAnsi" w:cstheme="minorHAnsi"/>
          <w:sz w:val="22"/>
          <w:szCs w:val="22"/>
          <w:lang w:val="en-GB"/>
        </w:rPr>
        <w:instrText>ADDIN CSL_CITATION {"citationItems":[{"id":"ITEM-1","itemData":{"author":[{"dropping-particle":"","family":"Dingemanse","given":"Niels J","non-dropping-particle":"","parse-names":false,"suffix":""},{"dropping-particle":"","family":"Réale","given":"Denis","non-dropping-particle":"","parse-names":false,"suffix":""}],"container-title":"Behaviour","id":"ITEM-1","issued":{"date-parts":[["2005"]]},"page":"1165-1190","title":"Natural selection and animal personality","type":"article-journal","volume":"142"},"uris":["http://www.mendeley.com/documents/?uuid=089756e7-88c0-4aaf-8f82-c046190a3c71"]},{"id":"ITEM-2","itemData":{"DOI":"10.1093/beheco/arx014","ISSN":"14657279","abstract":"Differences between individuals in correlated responses across contexts have both functional and mechanistic implications. Such syndromes may have either beneficial or harmful consequences when novel changes in the environment occur. We used wild-caught house sparrows, Passer domesticus, to test in functionally relevant circumstances, whether neophobia (initial fear of novelty), habituation, and the learning of novel cues (discriminant learning) were linked by a common underlying mechanism or reflected separate processes. We repeatedly measured individual latencies to approach and also to feed from a familiar feeding site in 3 contexts: a baseline control for mild disturbance, in the presence of a novel object and to a novel cue indicating hidden food. House sparrows on average exhibited neophobia, habituated to novel objects, and learned to associate new cues with a reward. We also found evidence for consistent individual differences in both latencies within most contexts but there was no evidence of individual differences in plasticity with repeated trials within either the novel object (habituation) or novel cue (learning) contexts. There was also little or no correlation between the 2 latencies within individuals within contexts. Individual differences in latencies to arrive at the food station exhibited strong correlations across contexts but latencies to feed were weaker. These results suggest a personality trait that exists regardless of novelty but no syndrome affecting reactions to different forms of novelty. House sparrows appear strongly plastic when responding to novel environments. Such plasticity is likely favored by the varied consequences of novelty across environments.","author":[{"dropping-particle":"","family":"Moldoff","given":"David E.","non-dropping-particle":"","parse-names":false,"suffix":""},{"dropping-particle":"","family":"Westneat","given":"David F.","non-dropping-particle":"","parse-names":false,"suffix":""}],"container-title":"Behavioral Ecology","id":"ITEM-2","issue":"3","issued":{"date-parts":[["2017"]]},"page":"732-743","title":"Foraging sparrows exhibit individual differences but not a syndrome when responding to multiple kinds of novelty","type":"article-journal","volume":"28"},"uris":["http://www.mendeley.com/documents/?uuid=aecede80-04da-46e5-b31f-0605d748e2a3"]},{"id":"ITEM-3","itemData":{"DOI":"10.1093/beheco/arm144","author":[{"dropping-particle":"","family":"Smith","given":"Brian R","non-dropping-particle":"","parse-names":false,"suffix":""},{"dropping-particle":"","family":"Blumstein","given":"Daniel T","non-dropping-particle":"","parse-names":false,"suffix":""}],"container-title":"Behavioral Ecology","id":"ITEM-3","issue":"January","issued":{"date-parts":[["2008"]]},"title":"Fitness consequences of personality: a meta-analysis","type":"article-journal"},"uris":["http://www.mendeley.com/documents/?uuid=b3da6216-bb68-4957-a747-f38ec9f1e99f"]}],"mendeley":{"formattedCitation":"(Dingemanse and Réale 2005; Smith and Blumstein 2008; Moldoff and Westneat 2017)","plainTextFormattedCitation":"(Dingemanse and Réale 2005; Smith and Blumstein 2008; Moldoff and Westneat 2017)","previouslyFormattedCitation":"(Dingemanse and Réale 2005; Smith and Blumstein 2008; Moldoff and Westneat 2017)"},"properties":{"noteIndex":0},"schema":"https://github.com/citation-style-language/schema/raw/master/csl-citation.json"}</w:instrText>
      </w:r>
      <w:r>
        <w:rPr>
          <w:rFonts w:cstheme="minorHAnsi"/>
          <w:lang w:val="en-GB"/>
        </w:rPr>
        <w:fldChar w:fldCharType="separate"/>
      </w:r>
      <w:r w:rsidR="00022ECD" w:rsidRPr="00022ECD">
        <w:rPr>
          <w:rFonts w:asciiTheme="minorHAnsi" w:hAnsiTheme="minorHAnsi" w:cstheme="minorHAnsi"/>
          <w:noProof/>
          <w:sz w:val="22"/>
          <w:szCs w:val="22"/>
          <w:lang w:val="en-GB"/>
        </w:rPr>
        <w:t>(Dingemanse and Réale 2005; Smith and Blumstein 2008; Moldoff and Westneat 2017)</w:t>
      </w:r>
      <w:r>
        <w:rPr>
          <w:rFonts w:cstheme="minorHAnsi"/>
          <w:lang w:val="en-GB"/>
        </w:rPr>
        <w:fldChar w:fldCharType="end"/>
      </w:r>
      <w:r>
        <w:rPr>
          <w:rFonts w:asciiTheme="minorHAnsi" w:hAnsiTheme="minorHAnsi" w:cstheme="minorHAnsi"/>
          <w:sz w:val="22"/>
          <w:szCs w:val="22"/>
          <w:lang w:val="en-GB"/>
        </w:rPr>
        <w:t xml:space="preserve">. </w:t>
      </w:r>
      <w:r>
        <w:rPr>
          <w:rFonts w:asciiTheme="minorHAnsi" w:hAnsiTheme="minorHAnsi" w:cstheme="minorHAnsi"/>
          <w:sz w:val="22"/>
          <w:szCs w:val="22"/>
          <w:lang w:val="pt"/>
        </w:rPr>
        <w:t xml:space="preserve">Under variable conditions, a diversity of behavioral strategies can be mantained when not a single one performes in an optimal way in all contexts. If so, performance may vary as a function of the interactions between social and/or </w:t>
      </w:r>
      <w:r>
        <w:rPr>
          <w:rFonts w:asciiTheme="minorHAnsi" w:hAnsiTheme="minorHAnsi" w:cstheme="minorHAnsi"/>
          <w:sz w:val="22"/>
          <w:szCs w:val="22"/>
          <w:lang w:val="en-GB"/>
        </w:rPr>
        <w:t>ecological</w:t>
      </w:r>
      <w:r>
        <w:rPr>
          <w:rFonts w:asciiTheme="minorHAnsi" w:hAnsiTheme="minorHAnsi" w:cstheme="minorHAnsi"/>
          <w:sz w:val="22"/>
          <w:szCs w:val="22"/>
          <w:lang w:val="pt"/>
        </w:rPr>
        <w:t xml:space="preserve"> selective forces, which can help reveal the complex interplay of intrisic and extrinsic factors shaping behavioral variability</w:t>
      </w:r>
      <w:r>
        <w:rPr>
          <w:rFonts w:asciiTheme="minorHAnsi" w:hAnsiTheme="minorHAnsi" w:cstheme="minorHAnsi"/>
          <w:sz w:val="22"/>
          <w:szCs w:val="22"/>
          <w:lang w:val="en-GB"/>
        </w:rPr>
        <w:t xml:space="preserve"> </w:t>
      </w:r>
      <w:r>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{"citationItems":[{"id":"ITEM-1","itemData":{"DOI":"10.1111/jeb.12081","ISSN":"1010061X","PMID":"23437956","abstract":"Heterogeneous forces of selection associated with fluctuating environments are recognized as important factors involved in the maintenance of inter-individual phenotypic variance within populations. Consistent behavioural differences over time and across situations (e.g. personality) are increasingly cited as examples of individual variation observed within populations. However, the suggestion that heterogeneous selective pressures target different animal personalities remains largely untested in the wild. In this 5-year study, we investigated the dynamics of viability selection on a personality trait, exploration, in a population of eastern chipmunks (Tamias striatus) experiencing substantial seasonal variations in weather conditions and food availability associated with masting trees. Contrary to our expectations, we found no evidence of fluctuating selection on exploration. Instead, we found strong disruptive viability selection on adult exploration behaviour, independent of seasonal variations. Individuals with either low or high exploration scores were almost twice as likely to survive over a 6-month period compared with individuals with intermediate scores. We found no evidence of viability selection on juvenile exploration. Our results highlight that disruptive selection might play an important role in the maintenance of phenotypic variance of wild populations through its effect on different personality types across temporally varying environmental conditions. © 2013 The Authors. Journal of Evolutionary Biology © 2013 European Society For Evolutionary Biology.","author":[{"dropping-particle":"","family":"Bergeron","given":"P.","non-dropping-particle":"","parse-names":false,"suffix":""},{"dropping-particle":"","family":"Montiglio","given":"P. O.","non-dropping-particle":"","parse-names":false,"suffix":""},{"dropping-particle":"","family":"Réale","given":"D.","non-dropping-particle":"","parse-names":false,"suffix":""},{"dropping-particle":"","family":"Humphries","given":"M. M.","non-dropping-particle":"","parse-names":false,"suffix":""},{"dropping-particle":"","family":"Gimenez","given":"O.","non-dropping-particle":"","parse-names":false,"suffix":""},{"dropping-particle":"","family":"Garant","given":"D.","non-dropping-particle":"","parse-names":false,"suffix":""}],"container-title":"Journal of Evolutionary Biology","id":"ITEM-1","issue":"4","issued":{"date-parts":[["2013"]]},"page":"766-774","title":"Disruptive viability selection on adult exploratory behaviour in eastern chipmunks","type":"article","volume":"26"},"uris":["http://www.mendeley.com/documents/?uuid=bb7533b7-8001-4451-a155-a1395d21a96c"]},{"id":"ITEM-2","itemData":{"DOI":"10.1111/1365-2656.13454","ISSN":"13652656","PMID":"33630314","abstract":"Despite increasing evidence of the importance of repeatable among-individual differences in behaviour (animal personality) in ecology and evolution, little remains known about the role of animal personalities in sexual selection. Here, we present an investigation of the hypothesis that the personalities of individuals and their sexual partners play a role in different episodes of sexual selection, and the extent to which these effects are modulated by the social environment. We first examined how two repeatable behaviours—exploration and boldness—are associated with pre- and postcopulatory sexual selection in male red junglefowl Gallus gallus, using replicate groups across three experimental sex ratio treatments. We further explored how the social environment modulates relationships between male personality and mating performance, and whether mating is assortative or disassortative with respect to exploration or boldness. Finally, we examined behavioural mechanisms linking personality with mating performance. Across all sex ratios, the fastest and slowest exploring males courted females proportionally less, and faster exploring males associated with females more and received more sexual solicitations. In female-biased groups, the fastest and slowest exploring males experienced the highest mating success and lowest sperm competition intensity. Faster exploring males also obtained more mates in female-biased groups when their competitors were, on average, slower exploring, and the proportion of matings obtained by fast-exploring males decreased with the proportion of fast-exploring males in a group, consistent with negative frequency-dependent sexual selection. While boldness did not predict mating performance, there was a tendency for individuals to mate disassortatively with respect to boldness. Collectively, our results suggest that male exploration can play a role in sexual selection, and that sexual selection on personality is complex and contingent on the social environment.","author":[{"dropping-particle":"","family":"Roth","given":"Allison M.","non-dropping-particle":"","parse-names":false,"suffix":""},{"dropping-particle":"","family":"Dingemanse","given":"Niels J.","non-dropping-particle":"","parse-names":false,"suffix":""},{"dropping-particle":"","family":"Nakagawa","given":"Shinichi","non-dropping-particle":"","parse-names":false,"suffix":""},{"dropping-particle":"","family":"McDonald","given":"Grant C.","non-dropping-particle":"","parse-names":false,"suffix":""},{"dropping-particle":"","family":"Løvlie","given":"Hanne","non-dropping-particle":"","parse-names":false,"suffix":""},{"dropping-particle":"","family":"Robledo-Ruiz","given":"Diana A.","non-dropping-particle":"","parse-names":false,"suffix":""},{"dropping-particle":"","family":"Pizzari","given":"Tommaso","non-dropping-particle":"","parse-names":false,"suffix":""}],"container-title":"Journal of Animal Ecology","id":"ITEM-2","issue":"5","issued":{"date-parts":[["2021"]]},"page":"1288-1306","title":"Sexual selection and personality: Individual and group-level effects on mating behaviour in red junglefowl","type":"article-journal","volume":"90"},"uris":["http://www.mendeley.com/documents/?uuid=1d3b7020-2050-482a-a6dc-b37e301ec447"]},{"id":"ITEM-3","itemData":{"DOI":"10.1093/beheco/arv074","ISSN":"14657279","abstract":"Over the past decade, it has been recognized that in many animal species, individuals present consistent behavioral differences across time and/or contexts, thus defining personality traits. A general relationship seems to exist between personality and fitness in wild populations, which raises the question as to how variation in personality is maintained in the presence of selection. Fluctuating selection associated with a heterogeneous environment could contribute to maintaining personality variation, but its presence in wild populations has rarely been tested. In this 6-year study, we investigated the relationship between individual personality differences and 1 component of fitness, annual reproductive success (ARS), in a population of Siberian chipmunk Tamias sibiricus that experiences considerable annual variations in food availability. We estimated trappability - the propensity of chipmunks to enter traps - using capture-mark-recapture data, and we showed that it was repeatable over a 1-year interval. Genetic data were used to estimate parentage and thus ARS. Assuming that trappability is an indicator of boldness, we found that bolder chipmunks had higher ARS in years with low food availability, whereas lower ARS in years with high food availability. Temporally fluctuating selection therefore probably contributes to maintaining variation in boldness in the study population.","author":[{"dropping-particle":"","family":"Cœur","given":"Christie","non-dropping-particle":"Le","parse-names":false,"suffix":""},{"dropping-particle":"","family":"Thibault","given":"Martin","non-dropping-particle":"","parse-names":false,"suffix":""},{"dropping-particle":"","family":"Pisanu","given":"Benoît","non-dropping-particle":"","parse-names":false,"suffix":""},{"dropping-particle":"","family":"Thibault","given":"Sophie","non-dropping-particle":"","parse-names":false,"suffix":""},{"dropping-particle":"","family":"Chapuis","given":"Jean Louis","non-dropping-particle":"","parse-names":false,"suffix":""},{"dropping-particle":"","family":"Baudry","given":"Emmanuelle","non-dropping-particle":"","parse-names":false,"suffix":""}],"container-title":"Behavioral Ecology","id":"ITEM-3","issue":"5","issued":{"date-parts":[["2015"]]},"page":"1285-1291","title":"Temporally fluctuating selection on a personality trait in a wild rodent population","type":"article-journal","volume":"26"},"uris":["http://www.mendeley.com/documents/?uuid=cf941175-2ce1-4f92-a8e2-9c378de149c2"]},{"id":"ITEM-4","itemData":{"DOI":"10.1073/pnas.2024994118","ISSN":"10916490","PMID":"34234017","abstract":"Heterogeneous selection is often proposed as a key mechanism maintaining repeatable behavioral variation (\"animal personality\") in wild populations. Previous studies largely focused on temporal variation in selection within single populations. The relative importance of spatial versus temporal variation remains unexplored, despite these processes having distinct effects on local adaptation. Using data from &gt;3,500 great tits (Parus major) and 35 nest box plots situated within five West-European populations monitored over 4 to 18 y, we show that selection on exploration behavior varies primarily spatially, across populations, and study plots within populations. Exploration was, simultaneously, selectively neutral in the average population and year. These findings imply that spatial variation in selectionmay represent a primarymechanism maintaining animal personalities, likely promoting the evolution of local adaptation, phenotype-dependent dispersal, and nonrandom settlement. Selection also varied within populations among years, which may counteract local adaptation. Our study underlines the importance of combining multiple spatiotemporal scales in the study of behavioral adaptation.","author":[{"dropping-particle":"","family":"Mouchet","given":"Alexia","non-dropping-particle":"","parse-names":false,"suffix":""},{"dropping-particle":"","family":"Cole","given":"Ella F.","non-dropping-particle":"","parse-names":false,"suffix":""},{"dropping-particle":"","family":"Matthysen","given":"Erik","non-dropping-particle":"","parse-names":false,"suffix":""},{"dropping-particle":"","family":"Nicolaus","given":"Marion","non-dropping-particle":"","parse-names":false,"suffix":""},{"dropping-particle":"","family":"Quinn","given":"John L.","non-dropping-particle":"","parse-names":false,"suffix":""},{"dropping-particle":"","family":"Roth","given":"Allison M.","non-dropping-particle":"","parse-names":false,"suffix":""},{"dropping-particle":"","family":"Tinbergen","given":"Joost M.","non-dropping-particle":"","parse-names":false,"suffix":""},{"dropping-particle":"","family":"Oers","given":"Kees","non-dropping-particle":"van","parse-names":false,"suffix":""},{"dropping-particle":"","family":"Overveld","given":"Thijs","non-dropping-particle":"van","parse-names":false,"suffix":""},{"dropping-particle":"","family":"Dingemanse","given":"Niels J.","non-dropping-particle":"","parse-names":false,"suffix":""}],"container-title":"Proceedings of the National Academy of Sciences of the United States of America","id":"ITEM-4","issue":"28","issued":{"date-parts":[["2021"]]},"page":"1-6","title":"Heterogeneous selection on exploration behavior within and among West European populations of a passerine bird","type":"article-journal","volume":"118"},"uris":["http://www.mendeley.com/documents/?uuid=9c20d007-d3ad-4452-9513-9a1f9264505a"]}],"mendeley":{"formattedCitation":"(Bergeron et al. 2013; Le Cœur et al. 2015; Mouchet et al. 2021; Roth et al. 2021)","plainTextFormattedCitation":"(Bergeron et al. 2013; Le Cœur et al. 2015; Mouchet et al. 2021; Roth et al. 2021)","previouslyFormattedCitation":"(Bergeron et al. 2013; Le Cœur et al. 2015; Mouchet et al. 2021; Roth et al. 2021)"},"properties":{"noteIndex":0},"schema":"https://github.com/citation-style-language/schema/raw/master/csl-citation.json"}</w:instrText>
      </w:r>
      <w:r>
        <w:rPr>
          <w:rFonts w:asciiTheme="minorHAnsi" w:hAnsiTheme="minorHAnsi" w:cstheme="minorHAnsi"/>
          <w:sz w:val="22"/>
          <w:szCs w:val="22"/>
          <w:lang w:val="en-GB"/>
        </w:rPr>
        <w:fldChar w:fldCharType="separate"/>
      </w:r>
      <w:r w:rsidR="00022ECD" w:rsidRPr="00022ECD">
        <w:rPr>
          <w:rFonts w:asciiTheme="minorHAnsi" w:hAnsiTheme="minorHAnsi" w:cstheme="minorHAnsi"/>
          <w:noProof/>
          <w:sz w:val="22"/>
          <w:szCs w:val="22"/>
          <w:lang w:val="en-GB"/>
        </w:rPr>
        <w:t>(Bergeron et al. 2013; Le Cœur et al. 2015; Mouchet et al. 2021; Roth et al. 2021)</w:t>
      </w:r>
      <w:r>
        <w:rPr>
          <w:rFonts w:asciiTheme="minorHAnsi" w:hAnsiTheme="minorHAnsi" w:cstheme="minorHAnsi"/>
          <w:sz w:val="22"/>
          <w:szCs w:val="22"/>
          <w:lang w:val="en-GB"/>
        </w:rPr>
        <w:fldChar w:fldCharType="end"/>
      </w:r>
      <w:r>
        <w:rPr>
          <w:rFonts w:asciiTheme="minorHAnsi" w:hAnsiTheme="minorHAnsi" w:cstheme="minorHAnsi"/>
          <w:sz w:val="22"/>
          <w:szCs w:val="22"/>
          <w:lang w:val="pt"/>
        </w:rPr>
        <w:t xml:space="preserve">. </w:t>
      </w:r>
      <w:r>
        <w:rPr>
          <w:rFonts w:asciiTheme="minorHAnsi" w:hAnsiTheme="minorHAnsi" w:cstheme="minorHAnsi"/>
          <w:sz w:val="22"/>
          <w:szCs w:val="22"/>
          <w:lang w:val="en-GB"/>
        </w:rPr>
        <w:t xml:space="preserve">Here, we examined the fitness consequences of various behavioural strategies during foraging in wild ranging, long-billed hermit hummingbirds (LBHs, </w:t>
      </w:r>
      <w:r>
        <w:rPr>
          <w:rFonts w:asciiTheme="minorHAnsi" w:hAnsiTheme="minorHAnsi" w:cstheme="minorHAnsi"/>
          <w:i/>
          <w:sz w:val="22"/>
          <w:szCs w:val="22"/>
          <w:lang w:val="en-GB"/>
        </w:rPr>
        <w:t>Phaethornis longirostris</w:t>
      </w:r>
      <w:r>
        <w:rPr>
          <w:rFonts w:asciiTheme="minorHAnsi" w:hAnsiTheme="minorHAnsi" w:cstheme="minorHAnsi"/>
          <w:sz w:val="22"/>
          <w:szCs w:val="22"/>
          <w:lang w:val="en-GB"/>
        </w:rPr>
        <w:t>)</w:t>
      </w:r>
      <w:r>
        <w:rPr>
          <w:rFonts w:cstheme="minorHAnsi"/>
          <w:lang w:val="en-GB"/>
        </w:rPr>
        <w:t xml:space="preserve">. </w:t>
      </w:r>
      <w:r>
        <w:rPr>
          <w:rFonts w:asciiTheme="minorHAnsi" w:hAnsiTheme="minorHAnsi" w:cstheme="minorHAnsi"/>
          <w:sz w:val="22"/>
          <w:szCs w:val="22"/>
          <w:lang w:val="en-GB"/>
        </w:rPr>
        <w:t xml:space="preserve">Hummingbirds are known for their extreme metabolism with a high need for energy intake that makes them constantly motivated to forage </w:t>
      </w:r>
      <w:r>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{"citationItems":[{"id":"ITEM-1","itemData":{"DOI":"10.1007/BF01920240","ISSN":"00144754","abstract":"Resting and maximal mass-specific metabolic rates scale inversely with body mass. Small hummingbirds achieve the highest known mass-specific metabolic rates among vertebrate homeotherms. Maximal capacities for O2 and substrate delivery to muscle mitochondria, as well as mitochondrial oxidative capacities in these animals may be at the upper limits of what are structurally and functionally possible given the constraints inherent in vertebrate design. Such constraints on the evolutionary design of functional capacities may play an important role in determining the lower limits to vertebrate homeotherm size and the upper limits to mass-specific metabolic rate. © 1992 Birkhäuser Verlag.","author":[{"dropping-particle":"","family":"Suarez","given":"R. K.","non-dropping-particle":"","parse-names":false,"suffix":""}],"container-title":"Experientia","id":"ITEM-1","issue":"6","issued":{"date-parts":[["1992"]]},"page":"565-570","title":"Hummingbird flight: Sustaining the highest mass-specific metabolic rates among vertebrates","type":"article-journal","volume":"48"},"uris":["http://www.mendeley.com/documents/?uuid=4bcc04b1-c2a6-4972-9dce-51d000f79c2c"]}],"mendeley":{"formattedCitation":"(Suarez 1992)","plainTextFormattedCitation":"(Suarez 1992)","previouslyFormattedCitation":"(Suarez 1992)"},"properties":{"noteIndex":0},"schema":"https://github.com/citation-style-language/schema/raw/master/csl-citation.json"}</w:instrText>
      </w:r>
      <w:r>
        <w:rPr>
          <w:rFonts w:asciiTheme="minorHAnsi" w:hAnsiTheme="minorHAnsi" w:cstheme="minorHAnsi"/>
          <w:sz w:val="22"/>
          <w:szCs w:val="22"/>
          <w:lang w:val="en-GB"/>
        </w:rPr>
        <w:fldChar w:fldCharType="separate"/>
      </w:r>
      <w:r w:rsidR="00022ECD" w:rsidRPr="00022ECD">
        <w:rPr>
          <w:rFonts w:asciiTheme="minorHAnsi" w:hAnsiTheme="minorHAnsi" w:cstheme="minorHAnsi"/>
          <w:noProof/>
          <w:sz w:val="22"/>
          <w:szCs w:val="22"/>
          <w:lang w:val="en-GB"/>
        </w:rPr>
        <w:t>(Suarez 1992)</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xml:space="preserve">. As such, they are expected to </w:t>
      </w:r>
      <w:r>
        <w:rPr>
          <w:rFonts w:asciiTheme="minorHAnsi" w:hAnsiTheme="minorHAnsi" w:cstheme="minorHAnsi"/>
          <w:sz w:val="22"/>
          <w:szCs w:val="22"/>
          <w:lang w:val="pt"/>
        </w:rPr>
        <w:t>be under strong selection for maximing foraging efficiency</w:t>
      </w:r>
      <w:r>
        <w:rPr>
          <w:rFonts w:asciiTheme="minorHAnsi" w:hAnsiTheme="minorHAnsi" w:cstheme="minorHAnsi"/>
          <w:sz w:val="22"/>
          <w:szCs w:val="22"/>
          <w:lang w:val="en-GB"/>
        </w:rPr>
        <w:t xml:space="preserve"> which can have an important effect on fitness. This is particularly significant for traplining forag</w:t>
      </w:r>
      <w:r>
        <w:rPr>
          <w:rFonts w:asciiTheme="minorHAnsi" w:hAnsiTheme="minorHAnsi" w:cstheme="minorHAnsi"/>
          <w:sz w:val="22"/>
          <w:szCs w:val="22"/>
          <w:lang w:val="pt"/>
        </w:rPr>
        <w:t>ing species</w:t>
      </w:r>
      <w:r>
        <w:rPr>
          <w:rFonts w:asciiTheme="minorHAnsi" w:hAnsiTheme="minorHAnsi" w:cstheme="minorHAnsi"/>
          <w:sz w:val="22"/>
          <w:szCs w:val="22"/>
          <w:lang w:val="en-GB"/>
        </w:rPr>
        <w:t xml:space="preserve">, which use flowers dispersed across the habitat in a route-like fashion, a more unpredictable resource </w:t>
      </w:r>
      <w:r>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{"citationItems":[{"id":"ITEM-1","itemData":{"DOI":"http://dx.doi.org/10.2307/40166760","ISBN":"00786594","abstract":"Phaethornis superciliosus","author":[{"dropping-particle":"","family":"Stiles","given":"F. Gary","non-dropping-particle":"","parse-names":false,"suffix":""},{"dropping-particle":"","family":"Wolf","given":"Larry L.","non-dropping-particle":"","parse-names":false,"suffix":""}],"container-title":"Ornithological Monographs","id":"ITEM-1","issued":{"date-parts":[["1979"]]},"page":"78","title":"Ecology and evolution of lek mating behavior in the Long-tailed Hermit hummingbird","type":"article-journal","volume":"27"},"uris":["http://www.mendeley.com/documents/?uuid=cb6d52e5-c52d-4e68-8e69-83e8f5bca49c"]},{"id":"ITEM-2","itemData":{"DOI":"10.1038/s41598-018-20441-x","ISSN":"20452322","abstract":"© 2018 The Author(s). Advanced cognitive abilities have long been hypothesized to be important in mating. Yet, most work on sexual selection has focused on morphological traits and its relevance for cognitive evolution is poorly understood. We studied the spatial memory of lekking long-billed hermits (Phaethornis longirostris) and evaluated its role in lek territory ownership, the magnitude of its effect compared to phenotypic traits expected to influence sexual selection, and whether its variation is indicated in the structure of mating vocal signal. Spatial memory (the ability to recall the position of a rewarding feeder) was compared between \"territorial\" and \"floater\" males. Interestingly, although spatial memory and body size both positively affected the probability of lek territory ownership, our results suggest a stronger effect of spatial memory. Bill tip length (used as weapon in agonistic interactions) also showed a positive but smaller effect. Load lifting during vertical flight, a measure of physical performance relevant to agonistic interactions, had no effect on territory ownership. Finally, both body size and spatial memory were indicated in the structure of male song: body size negatively correlated with song lowest frequency, while spatial memory positively predicted song consistency. Together, our findings lend support for cognition as a sexual selection target.","author":[{"dropping-particle":"","family":"Araya-Salas","given":"M.","non-dropping-particle":"","parse-names":false,"suffix":""},{"dropping-particle":"","family":"Gonzalez-Gomez","given":"P.","non-dropping-particle":"","parse-names":false,"suffix":""},{"dropping-particle":"","family":"Wojczulanis-Jakubas","given":"K.","non-dropping-particle":"","parse-names":false,"suffix":""},{"dropping-particle":"","family":"López","given":"V.","non-dropping-particle":"","parse-names":false,"suffix":""},{"dropping-particle":"","family":"Wright","given":"T.F.","non-dropping-particle":"","parse-names":false,"suffix":""}],"container-title":"Scientific Reports","id":"ITEM-2","issue":"1","issued":{"date-parts":[["2018"]]},"title":"Spatial memory is as important as weapon and body size for territorial ownership in a lekking hummingbird","type":"article-journal","volume":"8"},"uris":["http://www.mendeley.com/documents/?uuid=39f11fa8-f3e7-3faa-bcb0-4e322a90caac"]}],"mendeley":{"formattedCitation":"(Stiles and Wolf 1979; Araya-Salas et al. 2018)","plainTextFormattedCitation":"(Stiles and Wolf 1979; Araya-Salas et al. 2018)","previouslyFormattedCitation":"(Stiles and Wolf 1979; Araya-Salas et al. 2018)"},"properties":{"noteIndex":0},"schema":"https://github.com/citation-style-language/schema/raw/master/csl-citation.json"}</w:instrText>
      </w:r>
      <w:r>
        <w:rPr>
          <w:rFonts w:asciiTheme="minorHAnsi" w:hAnsiTheme="minorHAnsi" w:cstheme="minorHAnsi"/>
          <w:sz w:val="22"/>
          <w:szCs w:val="22"/>
          <w:lang w:val="en-GB"/>
        </w:rPr>
        <w:fldChar w:fldCharType="separate"/>
      </w:r>
      <w:r w:rsidR="00022ECD" w:rsidRPr="00022ECD">
        <w:rPr>
          <w:rFonts w:asciiTheme="minorHAnsi" w:hAnsiTheme="minorHAnsi" w:cstheme="minorHAnsi"/>
          <w:noProof/>
          <w:sz w:val="22"/>
          <w:szCs w:val="22"/>
          <w:lang w:val="en-GB"/>
        </w:rPr>
        <w:t>(Stiles and Wolf 1979; Araya-Salas et al. 2018)</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xml:space="preserve">. Free </w:t>
      </w:r>
      <w:r>
        <w:rPr>
          <w:rFonts w:asciiTheme="minorHAnsi" w:hAnsiTheme="minorHAnsi" w:cstheme="minorHAnsi"/>
          <w:sz w:val="22"/>
          <w:szCs w:val="22"/>
        </w:rPr>
        <w:fldChar w:fldCharType="begin"/>
      </w:r>
      <w:bookmarkStart w:id="1" w:name="Bookmark1311"/>
      <w:r>
        <w:rPr>
          <w:rFonts w:asciiTheme="minorHAnsi" w:hAnsiTheme="minorHAnsi" w:cstheme="minorHAnsi"/>
          <w:sz w:val="22"/>
          <w:szCs w:val="22"/>
        </w:rPr>
        <w:fldChar w:fldCharType="separate"/>
      </w:r>
      <w:r>
        <w:rPr>
          <w:rFonts w:asciiTheme="minorHAnsi" w:hAnsiTheme="minorHAnsi" w:cstheme="minorHAnsi"/>
          <w:sz w:val="22"/>
          <w:szCs w:val="22"/>
          <w:lang w:val="en-GB"/>
        </w:rPr>
        <w:t>fo</w:t>
      </w:r>
      <w:r>
        <w:rPr>
          <w:rFonts w:asciiTheme="minorHAnsi" w:hAnsiTheme="minorHAnsi" w:cstheme="minorHAnsi"/>
          <w:sz w:val="22"/>
          <w:szCs w:val="22"/>
        </w:rPr>
        <w:fldChar w:fldCharType="end"/>
      </w:r>
      <w:bookmarkEnd w:id="1"/>
      <w:r>
        <w:rPr>
          <w:rFonts w:asciiTheme="minorHAnsi" w:hAnsiTheme="minorHAnsi" w:cstheme="minorHAnsi"/>
          <w:sz w:val="22"/>
          <w:szCs w:val="22"/>
          <w:lang w:val="en-GB"/>
        </w:rPr>
        <w:t xml:space="preserve">ranging foraging entails a period of high vulnerability, exploited by a wide range of predators </w:t>
      </w:r>
      <w:r>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{"citationItems":[{"id":"ITEM-1","itemData":{"author":[{"dropping-particle":"","family":"Stiles","given":"F. G.","non-dropping-particle":"","parse-names":false,"suffix":""}],"container-title":"The Auk","id":"ITEM-1","issue":"3","issued":{"date-parts":[["1978"]]},"page":"550-553","title":"Possible specialization for hummingbird-hunting in the Tiny Hawk","type":"article-journal","volume":"95"},"uris":["http://www.mendeley.com/documents/?uuid=4c2c6100-9022-4f79-a3c8-e38fc904cb5f"]},{"id":"ITEM-2","itemData":{"DOI":"10.1676/16-100.1","ISSN":"1559-4491","abstract":"We review 147 incidents of the capture of small birds by mantids (order Mantodea, family Mantidae). This has been documented in 13 different countries, on all continents except Antarctica.We found records of predation on birds by 12 mantid species (in the genera Coptopteryx, Hierodula, Mantis, Miomantis, Polyspilota, Sphodromantis, Stagmatoptera, Stagmomantis, and Tenodera). Small birds in the orders Apodiformes and Passeriformes, representing 24 identified species from 14 families (Acanthizidae, Acrocephalidae, Certhiidae, Estrildidae, Maluridae, Meliphagidae, Muscicapidae, Nectariniidae, Parulidae, Phylloscopidae, Scotocercidae, Trochilidae, Tyrannidae, and Vireonidae), were found as prey. Most reports (.70%of observed incidents) are from the USA, where mantids have often been seen capturing hummingbirds attracted to food sources in gardens, i.e., hummingbird feeders or hummingbird-pollinated plants. The Ruby-throated Hummingbird (Archilochus colubris) was the species most frequently reported to be captured by mantids. Captures were reported also from Canada, Central America, and South America. In Africa, Asia, Australia, and Europe, we found 29 records of small passerine birds captured by mantids. Of the birds captured, 78% were killed and eaten by the mantids, 2% succeeded in escaping on their own, and 18%were freed by humans. In North America, native and non-native mantids were engaged in bird predation. Our compilation suggests that praying mantises frequently prey on hummingbirds in gardens in North America; therefore, we suggest caution in use of large-sized mantids, particularly non-native mantids, in gardens for insect pest control","author":[{"dropping-particle":"","family":"Nyffeler","given":"Martin","non-dropping-particle":"","parse-names":false,"suffix":""},{"dropping-particle":"","family":"Maxwell","given":"Michael R.","non-dropping-particle":"","parse-names":false,"suffix":""},{"dropping-particle":"V.","family":"Remsen","given":"J.","non-dropping-particle":"","parse-names":false,"suffix":""}],"container-title":"The Wilson Journal of Ornithology","id":"ITEM-2","issue":"2","issued":{"date-parts":[["2017"]]},"page":"331-344","title":"Bird predation by praying mantises: a global perspective","type":"article-journal","volume":"129"},"uris":["http://www.mendeley.com/documents/?uuid=f31dd739-1894-4e86-9e0f-98f8f33dcb4a"]},{"id":"ITEM-3","itemData":{"DOI":"10.1676/05-062.1","ISSN":"1559-4491","abstract":"A tailless whipscorpion (Phrynus longipes) was observed feeding on an Antillean Crested Hummingbird (Orthorhyncus cristatus) atop a large boulder on the island of Virgin Gorda in the British Virgin Islands. This is the first record of any avian species serving as prey for an Amblypygid.","author":[{"dropping-particle":"","family":"Owen","given":"Jennifer L.","non-dropping-particle":"","parse-names":false,"suffix":""},{"dropping-particle":"","family":"Cokendolpher","given":"James C.","non-dropping-particle":"","parse-names":false,"suffix":""}],"container-title":"The Wilson Journal of Ornithology","id":"ITEM-3","issue":"3","issued":{"date-parts":[["2006"]]},"page":"422-423","title":"Tailless Whipscorpion (Phrynus longipes) feeds on Antillean crested hummingbird (Orthorhyncus cristatus)","type":"article-journal","volume":"118"},"uris":["http://www.mendeley.com/documents/?uuid=b9a0bf12-9b3a-41c6-80fa-dde9a940a905"]},{"id":"ITEM-4","itemData":{"ISSN":"01035657","abstract":"Pygmy owls of the genus Glaucidium prey on large insect and small vertebrates, mostly birds. Among the birds preyed on by pygmy owls are hummingbirds, caught mostly while mobbing these owlets or when still at nestling stage. I report here on the Ferruginous Pygmy Owl (Glaucidium brasilianum) snatching flower-visiting hummingbirds in an orchard at a farm in southwestern Brazil. I recorded one White-tailed Goldenthroat (Polytmus guainumbi) and three Gilded Hummingbirds (Hylocharis chrysura) preyed on by this owlet on three consecutive days. The large concentration of flowers and, consequently, of hummingbirds in the orchard likely contributed to the hunting success of the owlet on such fleeting and quickly moving prey. The role this pygmy owl plays on predation of adult hummingbirds in the Neotropics merits closer consideration.","author":[{"dropping-particle":"","family":"Sazima","given":"Ivan","non-dropping-particle":"","parse-names":false,"suffix":""}],"container-title":"Revista Brasileira de Ornitologia","id":"ITEM-4","issue":"1","issued":{"date-parts":[["2015"]]},"page":"12-14","title":"Lightning predator: the ferruginous pygmy owl snatches flower-visiting hummingbirds in southwestern Brazil","type":"article-journal","volume":"23"},"uris":["http://www.mendeley.com/documents/?uuid=6dc13d7a-2b82-4a81-9938-210a575aadc8"]},{"id":"ITEM-5","itemData":{"DOI":"10.1656/058.012.0416","ISSN":"1528-7092","abstract":"Predation is not thought to contribute significantly to adult hummingbird mortality in temperate areas, where most reported cases of mortality are the result of accidents (e.g., window collisions and spider webs). However, the hazards encountered during migration, including the threat of prédation, can impact hummingbirds while on stopover. We present one account of préda- tion upon Archilochus colubris (Ruby-throated Hummingbird) by Accipiter striatus (Sharp-shinned Hawk) and one account of a Ruby-throated Hummingbird displaying anti-predator behavior by mobbing a Falco sparverius (American Kestrel). All observations took place in coastal Alabama during stopover in autumn.","author":[{"dropping-particle":"","family":"Zenzal","given":"Theodore J.","non-dropping-particle":"","parse-names":false,"suffix":""},{"dropping-particle":"","family":"Fish","given":"Alexander C.","non-dropping-particle":"","parse-names":false,"suffix":""},{"dropping-particle":"","family":"Jones","given":"Todd M.","non-dropping-particle":"","parse-names":false,"suffix":""},{"dropping-particle":"","family":"Ospina","given":"Emilie A.","non-dropping-particle":"","parse-names":false,"suffix":""},{"dropping-particle":"","family":"Moore","given":"Frank R.","non-dropping-particle":"","parse-names":false,"suffix":""}],"container-title":"Southeastern Naturalist","id":"ITEM-5","issue":"4","issued":{"date-parts":[["2013"]]},"page":"N21-N25","title":"Observations of Predation and Anti-Predator Behavior of Rubythroated Hummingbirds During Migratory Stopover","type":"article-journal","volume":"12"},"uris":["http://www.mendeley.com/documents/?uuid=f8bfc975-3786-4095-8c27-34e42169325b"]},{"id":"ITEM-6","itemData":{"author":[{"dropping-particle":"","family":"Lorenz","given":"Stephan","non-dropping-particle":"","parse-names":false,"suffix":""}],"container-title":"Bulletin of the Texas Ornithological Society","id":"ITEM-6","issue":"1","issued":{"date-parts":[["2007"]]},"page":"1-40","title":"Carolina mantind (Stagmomantis carolica) captures and feeds on a broad-tailed hummingbird (Selasphorus platycercus)","type":"article-journal","volume":"40"},"uris":["http://www.mendeley.com/documents/?uuid=9f24957e-c9b4-4d62-be5c-26937ea87fdc"]}],"mendeley":{"formattedCitation":"(Stiles 1978; Owen and Cokendolpher 2006; Lorenz 2007; Zenzal et al. 2013; Sazima 2015; Nyffeler et al. 2017)","plainTextFormattedCitation":"(Stiles 1978; Owen and Cokendolpher 2006; Lorenz 2007; Zenzal et al. 2013; Sazima 2015; Nyffeler et al. 2017)","previouslyFormattedCitation":"(Stiles 1978; Owen and Cokendolpher 2006; Lorenz 2007; Zenzal et al. 2013; Sazima 2015; Nyffeler et al. 2017)"},"properties":{"noteIndex":0},"schema":"https://github.com/citation-style-language/schema/raw/master/csl-citation.json"}</w:instrText>
      </w:r>
      <w:r>
        <w:rPr>
          <w:rFonts w:asciiTheme="minorHAnsi" w:hAnsiTheme="minorHAnsi" w:cstheme="minorHAnsi"/>
          <w:sz w:val="22"/>
          <w:szCs w:val="22"/>
          <w:lang w:val="en-GB"/>
        </w:rPr>
        <w:fldChar w:fldCharType="separate"/>
      </w:r>
      <w:r w:rsidR="00022ECD" w:rsidRPr="00022ECD">
        <w:rPr>
          <w:rFonts w:asciiTheme="minorHAnsi" w:hAnsiTheme="minorHAnsi" w:cstheme="minorHAnsi"/>
          <w:noProof/>
          <w:sz w:val="22"/>
          <w:szCs w:val="22"/>
          <w:lang w:val="en-GB"/>
        </w:rPr>
        <w:t>(Stiles 1978; Owen and Cokendolpher 2006; Lorenz 2007; Zenzal et al. 2013; Sazima 2015; Nyffeler et al. 2017)</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xml:space="preserve">, which in turn, </w:t>
      </w:r>
      <w:r>
        <w:rPr>
          <w:rFonts w:asciiTheme="minorHAnsi" w:hAnsiTheme="minorHAnsi" w:cstheme="minorHAnsi"/>
          <w:sz w:val="22"/>
          <w:szCs w:val="22"/>
          <w:lang w:val="pt"/>
        </w:rPr>
        <w:t>results</w:t>
      </w:r>
      <w:r>
        <w:rPr>
          <w:rFonts w:asciiTheme="minorHAnsi" w:hAnsiTheme="minorHAnsi" w:cstheme="minorHAnsi"/>
          <w:sz w:val="22"/>
          <w:szCs w:val="22"/>
          <w:lang w:val="en-GB"/>
        </w:rPr>
        <w:t xml:space="preserve"> </w:t>
      </w:r>
      <w:r>
        <w:rPr>
          <w:rFonts w:asciiTheme="minorHAnsi" w:hAnsiTheme="minorHAnsi" w:cstheme="minorHAnsi"/>
          <w:sz w:val="22"/>
          <w:szCs w:val="22"/>
          <w:lang w:val="pt"/>
        </w:rPr>
        <w:t xml:space="preserve">in a </w:t>
      </w:r>
      <w:r>
        <w:rPr>
          <w:rFonts w:asciiTheme="minorHAnsi" w:hAnsiTheme="minorHAnsi" w:cstheme="minorHAnsi"/>
          <w:sz w:val="22"/>
          <w:szCs w:val="22"/>
          <w:lang w:val="en-GB"/>
        </w:rPr>
        <w:t xml:space="preserve">trade-off between </w:t>
      </w:r>
      <w:r>
        <w:rPr>
          <w:rFonts w:asciiTheme="minorHAnsi" w:hAnsiTheme="minorHAnsi" w:cstheme="minorHAnsi"/>
          <w:sz w:val="22"/>
          <w:szCs w:val="22"/>
          <w:lang w:val="pt"/>
        </w:rPr>
        <w:t xml:space="preserve">efficient </w:t>
      </w:r>
      <w:r>
        <w:rPr>
          <w:rFonts w:asciiTheme="minorHAnsi" w:hAnsiTheme="minorHAnsi" w:cstheme="minorHAnsi"/>
          <w:sz w:val="22"/>
          <w:szCs w:val="22"/>
          <w:lang w:val="en-GB"/>
        </w:rPr>
        <w:t xml:space="preserve">foraging and risk </w:t>
      </w:r>
      <w:r>
        <w:rPr>
          <w:rFonts w:asciiTheme="minorHAnsi" w:hAnsiTheme="minorHAnsi" w:cstheme="minorHAnsi"/>
          <w:sz w:val="22"/>
          <w:szCs w:val="22"/>
          <w:lang w:val="pt"/>
        </w:rPr>
        <w:t>avoidance</w:t>
      </w:r>
      <w:r>
        <w:rPr>
          <w:rFonts w:asciiTheme="minorHAnsi" w:hAnsiTheme="minorHAnsi" w:cstheme="minorHAnsi"/>
          <w:sz w:val="22"/>
          <w:szCs w:val="22"/>
          <w:lang w:val="en-GB"/>
        </w:rPr>
        <w:t xml:space="preserve">. </w:t>
      </w:r>
      <w:r>
        <w:rPr>
          <w:rFonts w:asciiTheme="minorHAnsi" w:hAnsiTheme="minorHAnsi" w:cstheme="minorHAnsi"/>
          <w:sz w:val="22"/>
          <w:szCs w:val="22"/>
          <w:lang w:val="pt"/>
        </w:rPr>
        <w:t>The differential payoffs in the selective landscape given by these two factors are expected to shape foraging strategies of the hummingbirds.</w:t>
      </w:r>
    </w:p>
    <w:p w:rsidR="005939CD" w:rsidRDefault="00C24910">
      <w:pPr>
        <w:pStyle w:val="NormalnyWeb"/>
        <w:spacing w:line="480" w:lineRule="auto"/>
        <w:jc w:val="both"/>
        <w:rPr>
          <w:rFonts w:asciiTheme="minorHAnsi" w:eastAsia="Calibri" w:hAnsiTheme="minorHAnsi" w:cstheme="minorHAnsi"/>
          <w:sz w:val="22"/>
          <w:szCs w:val="22"/>
          <w:lang w:val="en-GB"/>
        </w:rPr>
      </w:pPr>
      <w:r>
        <w:rPr>
          <w:rFonts w:asciiTheme="minorHAnsi" w:hAnsiTheme="minorHAnsi" w:cstheme="minorHAnsi"/>
          <w:sz w:val="22"/>
          <w:szCs w:val="22"/>
          <w:lang w:val="pt"/>
        </w:rPr>
        <w:t xml:space="preserve">We assessed the payoffs of diferent behavioral strategies under a </w:t>
      </w:r>
      <w:r>
        <w:rPr>
          <w:rFonts w:asciiTheme="minorHAnsi" w:hAnsiTheme="minorHAnsi" w:cstheme="minorHAnsi"/>
          <w:sz w:val="22"/>
          <w:szCs w:val="22"/>
          <w:lang w:val="en-GB"/>
        </w:rPr>
        <w:t>trade-off between food resource exploitation and risk avoidance in long-billed hermits. We considered the issue in the context of low and high level of perceived threat and in regard to three behaviour</w:t>
      </w:r>
      <w:r>
        <w:rPr>
          <w:rFonts w:asciiTheme="minorHAnsi" w:hAnsiTheme="minorHAnsi" w:cstheme="minorHAnsi"/>
          <w:sz w:val="22"/>
          <w:szCs w:val="22"/>
          <w:lang w:val="pt"/>
        </w:rPr>
        <w:t>al axes,</w:t>
      </w:r>
      <w:r>
        <w:rPr>
          <w:rFonts w:asciiTheme="minorHAnsi" w:hAnsiTheme="minorHAnsi" w:cstheme="minorHAnsi"/>
          <w:sz w:val="22"/>
          <w:szCs w:val="22"/>
          <w:lang w:val="en-GB"/>
        </w:rPr>
        <w:t xml:space="preserve"> </w:t>
      </w:r>
      <w:r>
        <w:rPr>
          <w:rFonts w:asciiTheme="minorHAnsi" w:hAnsiTheme="minorHAnsi" w:cstheme="minorHAnsi"/>
          <w:sz w:val="22"/>
          <w:szCs w:val="22"/>
          <w:lang w:val="pt"/>
        </w:rPr>
        <w:t>commonly linked to</w:t>
      </w:r>
      <w:r>
        <w:rPr>
          <w:rFonts w:asciiTheme="minorHAnsi" w:hAnsiTheme="minorHAnsi" w:cstheme="minorHAnsi"/>
          <w:sz w:val="22"/>
          <w:szCs w:val="22"/>
          <w:lang w:val="en-GB"/>
        </w:rPr>
        <w:t xml:space="preserve"> </w:t>
      </w:r>
      <w:r>
        <w:rPr>
          <w:rFonts w:asciiTheme="minorHAnsi" w:hAnsiTheme="minorHAnsi" w:cstheme="minorHAnsi"/>
          <w:sz w:val="22"/>
          <w:szCs w:val="22"/>
          <w:lang w:val="pt"/>
        </w:rPr>
        <w:t>the explotation of food resources</w:t>
      </w:r>
      <w:r>
        <w:rPr>
          <w:rFonts w:asciiTheme="minorHAnsi" w:hAnsiTheme="minorHAnsi" w:cstheme="minorHAnsi"/>
          <w:sz w:val="22"/>
          <w:szCs w:val="22"/>
          <w:lang w:val="en-GB"/>
        </w:rPr>
        <w:t xml:space="preserve">: a) exploration (number of foraging spots (i.e. feeders) used during the foraging visit), b) risk-avoidance (latency to approach the foraging spot to forage), and c) arousal (amount of movements during the foraging event) </w:t>
      </w:r>
      <w:r>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{"citationItems":[{"id":"ITEM-1","itemData":{"DOI":"10.1098/rspb.2011.2227","ISSN":"14712970","abstract":"Theory suggests that individual personality is tightly linked to individual life histories and to environmental variation. The reactive-proactive axis, for example, is thought to reflect whether individuals prioritize productivity or survival, mutually exclusive options that can be caused by conflicts between foraging and anti-predation behaviour. Evidence for this trade-off hypothesis, however, is limited. Here, we tested experimentally whether exploration behaviour (EB), an assay of proactivity, could explain how great tits (Parus major) respond to changes in starvation and predation risk. Individuals were presented with two feeders, holding good or poor quality food, which interchanged between safe and dangerous positions 10 m apart, across two 24 h treatments. Starvation risk was assumed to be highest in the morning and lowest in the afternoon. The proportion of time spent feeding on good quality food (PTG) rather than poor quality food was repeatable within treatments, but individuals varied in how PTG changed with respect to predation- and starvation-risk across treatments. This individual plasticity variation in foraging behaviour was linked to EB, as predicted by the reactive-proactive axis, but only among individuals in dominant social classes. Our results support the trade-off hypothesis at the level of individuals in a wild population, and suggest that fine-scale temporal and spatial variation may play important roles in the evolution of personality. © 2011 The Royal Society.","author":[{"dropping-particle":"","family":"Quinn","given":"J. L.","non-dropping-particle":"","parse-names":false,"suffix":""},{"dropping-particle":"","family":"Cole","given":"E. F.","non-dropping-particle":"","parse-names":false,"suffix":""},{"dropping-particle":"","family":"Bates","given":"J.","non-dropping-particle":"","parse-names":false,"suffix":""},{"dropping-particle":"","family":"Payne","given":"R. W.","non-dropping-particle":"","parse-names":false,"suffix":""},{"dropping-particle":"","family":"Cresswell","given":"W.","non-dropping-particle":"","parse-names":false,"suffix":""}],"container-title":"Proceedings of the Royal Society B: Biological Sciences","id":"ITEM-1","issue":"1735","issued":{"date-parts":[["2012"]]},"page":"1919-1926","title":"Personality predicts individual responsiveness to the risks of starvation and predation","type":"article-journal","volume":"279"},"uris":["http://www.mendeley.com/documents/?uuid=ece0f9a3-37c5-4701-8aa2-da46e3e24b9b"]},{"id":"ITEM-2","itemData":{"DOI":"10.1093/beheco/arr185","ISSN":"10452249","abstract":"Although the occurrence of individuals' behavioral differences in a \"shyness-boldness\" continuum (i.e., animals' propensity to take risks) is well established from experimental studies, little is known about how this personality trait might influence individual predation risk management decisions in natural systems. We recorded the risk management strategies (RMS) of a natural population of redshanks by observing the daily behavioral decisions made by foraging individuals. These included proximity to neighbors, flock size, position with respect to predator concealing cover, and vigilance. Using hierarchical mixed effects models, we found that although variation in most of these RMS had a significant individual component, only vigilance was moderately repeatable and therefore a personality trait. There was no evidence for a behavioral risk management syndrome: there were no significant correlations of vigilance with aggressiveness or exploratory behavior. Vigilance levels were highly flexible, were adjusted to the riskiness of the situation, and individuals varied in the degree of this plasticity, suggesting that a redshank's boldness (personality) may only contribute a small amount to natural risk management and that it is situation dependent. This emphasizes that although variable risk and profitability in the environment may select for different personalities (e.g., that determine baseline levels of vigilance all things being equal), these baseline levels can be modified greatly through behavioral flexibility when individuals are confronted by a change in environmental context, potentially removing these differences. © The Author 2011.","author":[{"dropping-particle":"","family":"Couchoux","given":"Charline","non-dropping-particle":"","parse-names":false,"suffix":""},{"dropping-particle":"","family":"Cresswell","given":"Will","non-dropping-particle":"","parse-names":false,"suffix":""}],"container-title":"Behavioral Ecology","id":"ITEM-2","issue":"2","issued":{"date-parts":[["2012"]]},"page":"290-301","title":"Personality constraints versus flexible antipredation behaviors: How important is boldness in risk management of redshanks (Tringa totanus) foraging in a natural system?","type":"article-journal","volume":"23"},"uris":["http://www.mendeley.com/documents/?uuid=2a44f54f-9bd3-412a-87fb-a396607a32e7"]},{"id":"ITEM-3","itemData":{"DOI":"10.1111/j.1469-185X.2007.00010.x","ISSN":"14647931","PMID":"17437562","abstract":"Temperament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 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 © 2007 Cambridge Philosophical Society.","author":[{"dropping-particle":"","family":"Réale","given":"Denis","non-dropping-particle":"","parse-names":false,"suffix":""},{"dropping-particle":"","family":"Reader","given":"Simon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Reviews","id":"ITEM-3","issue":"2","issued":{"date-parts":[["2007"]]},"page":"291-318","title":"Integrating animal temperament within ecology and evolution","type":"article-journal","volume":"82"},"uris":["http://www.mendeley.com/documents/?uuid=7b4528c1-810c-46d1-9f1a-094602912760"]},{"id":"ITEM-4","itemData":{"DOI":"10.1093/beheco/aru131","ISSN":"14657279","abstract":"In captivity, personality types differ in behavioral flexibility: \"fast\" (neophilic, exploratory, and aggressive) types quickly form routines, whereas \"slow\" types continually adjust their behavior with environmental changes. If these differences extend to pertinent natural environmental changes, which indicate changing predation or starvation threat, then personality may reflect important variation in how animals manage risk. We examined whether personality traits classified in captivity would predict the behavioral flexibility of blue tits Cyanistes caeruleus as they foraged in the wild. Behavioral flexibility was defined as the tendency to adjust feeder use with changing winter air temperature, an indicator of starvation risk. At the population level, birds reduced their feeder use on warm days. Individuals, though, varied widely, with some instead using feeders at a relatively fixed, temperature-independent rate. Sex and size, correlates of dominance in blue tits, did not predict behavioral flexibility. Instead, behavioral flexibility was predicted by age and 2 personality traits: old, neophobic, and exploratory birds were more behaviorally flexible than young, neophilic, and nonexploratory birds. Our findings suggest that personality types differ in how they use information about their environments and hence cope with environmental change.","author":[{"dropping-particle":"","family":"Herborn","given":"Katherine A.","non-dropping-particle":"","parse-names":false,"suffix":""},{"dropping-particle":"","family":"Heidinger","given":"Britt J.","non-dropping-particle":"","parse-names":false,"suffix":""},{"dropping-particle":"","family":"Alexander","given":"Lucille","non-dropping-particle":"","parse-names":false,"suffix":""},{"dropping-particle":"","family":"Arnold","given":"Kathryn E.","non-dropping-particle":"","parse-names":false,"suffix":""}],"container-title":"Behavioral Ecology","id":"ITEM-4","issue":"6","issued":{"date-parts":[["2014"]]},"page":"1374-1379","title":"Personality predicts behavioral flexibility in a fluctuating, natural environment","type":"article-journal","volume":"25"},"uris":["http://www.mendeley.com/documents/?uuid=bd43566f-0e94-4025-bb40-b9531a6623f6"]},{"id":"ITEM-5","itemData":{"DOI":"10.1093/beheco/arm144","author":[{"dropping-particle":"","family":"Smith","given":"Brian R","non-dropping-particle":"","parse-names":false,"suffix":""},{"dropping-particle":"","family":"Blumstein","given":"Daniel T","non-dropping-particle":"","parse-names":false,"suffix":""}],"container-title":"Behavioral Ecology","id":"ITEM-5","issue":"January","issued":{"date-parts":[["2008"]]},"title":"Fitness consequences of personality: a meta-analysis","type":"article-journal"},"uris":["http://www.mendeley.com/documents/?uuid=b3da6216-bb68-4957-a747-f38ec9f1e99f"]}],"mendeley":{"formattedCitation":"(Réale et al. 2007; Smith and Blumstein 2008; Couchoux and Cresswell 2012; Quinn et al. 2012a; Herborn et al. 2014)","plainTextFormattedCitation":"(Réale et al. 2007; Smith and Blumstein 2008; Couchoux and Cresswell 2012; Quinn et al. 2012a; Herborn et al. 2014)","previouslyFormattedCitation":"(Réale et al. 2007; Smith and Blumstein 2008; Couchoux and Cresswell 2012; Quinn et al. 2012a; Herborn et al. 2014)"},"properties":{"noteIndex":0},"schema":"https://github.com/citation-style-language/schema/raw/master/csl-citation.json"}</w:instrText>
      </w:r>
      <w:r>
        <w:rPr>
          <w:rFonts w:asciiTheme="minorHAnsi" w:hAnsiTheme="minorHAnsi" w:cstheme="minorHAnsi"/>
          <w:sz w:val="22"/>
          <w:szCs w:val="22"/>
          <w:lang w:val="en-GB"/>
        </w:rPr>
        <w:fldChar w:fldCharType="separate"/>
      </w:r>
      <w:r w:rsidR="00022ECD" w:rsidRPr="00022ECD">
        <w:rPr>
          <w:rFonts w:asciiTheme="minorHAnsi" w:hAnsiTheme="minorHAnsi" w:cstheme="minorHAnsi"/>
          <w:noProof/>
          <w:sz w:val="22"/>
          <w:szCs w:val="22"/>
          <w:lang w:val="en-GB"/>
        </w:rPr>
        <w:t>(Réale et al. 2007; Smith and Blumstein 2008; Couchoux and Cresswell 2012; Quinn et al. 2012a; Herborn et al. 2014)</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xml:space="preserve">. We hypothesized that foraging efficiency varies under different threat conditions and that this variation would be modulated by the </w:t>
      </w:r>
      <w:r>
        <w:rPr>
          <w:rFonts w:asciiTheme="minorHAnsi" w:hAnsiTheme="minorHAnsi" w:cstheme="minorHAnsi"/>
          <w:sz w:val="22"/>
          <w:szCs w:val="22"/>
          <w:lang w:val="en-GB"/>
        </w:rPr>
        <w:lastRenderedPageBreak/>
        <w:t>three behavioural axes evaluated. Overall, we expected that</w:t>
      </w:r>
      <w:r>
        <w:rPr>
          <w:rFonts w:asciiTheme="minorHAnsi" w:hAnsiTheme="minorHAnsi" w:cstheme="minorHAnsi"/>
          <w:sz w:val="22"/>
          <w:szCs w:val="22"/>
          <w:lang w:val="pt"/>
        </w:rPr>
        <w:t xml:space="preserve"> not a single behavioral strategy would provide the highest foraging efficiency across threat levels</w:t>
      </w:r>
      <w:r>
        <w:rPr>
          <w:rFonts w:asciiTheme="minorHAnsi" w:hAnsiTheme="minorHAnsi" w:cstheme="minorHAnsi"/>
          <w:sz w:val="22"/>
          <w:szCs w:val="22"/>
          <w:lang w:val="en-GB"/>
        </w:rPr>
        <w:t>.</w:t>
      </w:r>
    </w:p>
    <w:p w:rsidR="005939CD" w:rsidRDefault="005939CD">
      <w:pPr>
        <w:spacing w:line="480" w:lineRule="auto"/>
        <w:jc w:val="both"/>
        <w:rPr>
          <w:rFonts w:cstheme="minorHAnsi"/>
          <w:b/>
          <w:lang w:val="en-GB"/>
        </w:rPr>
      </w:pPr>
    </w:p>
    <w:p w:rsidR="005939CD" w:rsidRDefault="00C24910">
      <w:pPr>
        <w:spacing w:line="480" w:lineRule="auto"/>
        <w:jc w:val="both"/>
        <w:rPr>
          <w:rFonts w:cstheme="minorHAnsi"/>
          <w:b/>
          <w:lang w:val="en-GB"/>
        </w:rPr>
      </w:pPr>
      <w:r>
        <w:rPr>
          <w:rFonts w:cstheme="minorHAnsi"/>
          <w:b/>
          <w:lang w:val="en-GB"/>
        </w:rPr>
        <w:t>Material and methods</w:t>
      </w:r>
    </w:p>
    <w:p w:rsidR="005939CD" w:rsidRDefault="00C24910">
      <w:pPr>
        <w:spacing w:line="480" w:lineRule="auto"/>
        <w:jc w:val="both"/>
        <w:rPr>
          <w:rFonts w:cstheme="minorHAnsi"/>
          <w:lang w:val="en-GB"/>
        </w:rPr>
      </w:pPr>
      <w:r>
        <w:rPr>
          <w:rFonts w:cstheme="minorHAnsi"/>
          <w:iCs/>
          <w:lang w:val="en-GB"/>
        </w:rPr>
        <w:t>The long-billed hermit is a</w:t>
      </w:r>
      <w:r>
        <w:rPr>
          <w:rFonts w:cstheme="minorHAnsi"/>
          <w:i/>
          <w:lang w:val="en-GB"/>
        </w:rPr>
        <w:t xml:space="preserve"> </w:t>
      </w:r>
      <w:r>
        <w:rPr>
          <w:rFonts w:cstheme="minorHAnsi"/>
          <w:iCs/>
          <w:lang w:val="en-GB"/>
        </w:rPr>
        <w:t>r</w:t>
      </w:r>
      <w:r>
        <w:rPr>
          <w:rFonts w:cstheme="minorHAnsi"/>
          <w:lang w:val="en-GB"/>
        </w:rPr>
        <w:t xml:space="preserve">elatively large size hummingbird species of humid neo-tropical lowlands. This is species shows a lekking mating system in which males sing and display from traditional areas inside the forest for mate attraction during a ~8 month breeding season (Stiles &amp; Wolf 1979). Unlike many hummingbirds, hermits do not defend a patch of flowers but visit widely scattered flowers in a foraging route (i.e. traplining). Aggressive interactions related to disputes over lek territories are </w:t>
      </w:r>
      <w:r w:rsidRPr="00E4308A">
        <w:rPr>
          <w:rFonts w:cstheme="minorHAnsi"/>
          <w:lang w:val="en-GB"/>
        </w:rPr>
        <w:t>common</w:t>
      </w:r>
      <w:r w:rsidR="00022ECD">
        <w:rPr>
          <w:rFonts w:cstheme="minorHAnsi"/>
          <w:lang w:val="en-GB"/>
        </w:rPr>
        <w:t xml:space="preserve"> </w:t>
      </w:r>
      <w:r w:rsidR="00022ECD">
        <w:rPr>
          <w:rFonts w:cstheme="minorHAnsi"/>
          <w:lang w:val="en-GB"/>
        </w:rPr>
        <w:fldChar w:fldCharType="begin" w:fldLock="1"/>
      </w:r>
      <w:r w:rsidR="00022ECD">
        <w:rPr>
          <w:rFonts w:cstheme="minorHAnsi"/>
          <w:lang w:val="en-GB"/>
        </w:rPr>
        <w:instrText>ADDIN CSL_CITATION {"citationItems":[{"id":"ITEM-1","itemData":{"DOI":"10.1038/s41598-018-20441-x","ISSN":"20452322","abstract":"© 2018 The Author(s). Advanced cognitive abilities have long been hypothesized to be important in mating. Yet, most work on sexual selection has focused on morphological traits and its relevance for cognitive evolution is poorly understood. We studied the spatial memory of lekking long-billed hermits (Phaethornis longirostris) and evaluated its role in lek territory ownership, the magnitude of its effect compared to phenotypic traits expected to influence sexual selection, and whether its variation is indicated in the structure of mating vocal signal. Spatial memory (the ability to recall the position of a rewarding feeder) was compared between \"territorial\" and \"floater\" males. Interestingly, although spatial memory and body size both positively affected the probability of lek territory ownership, our results suggest a stronger effect of spatial memory. Bill tip length (used as weapon in agonistic interactions) also showed a positive but smaller effect. Load lifting during vertical flight, a measure of physical performance relevant to agonistic interactions, had no effect on territory ownership. Finally, both body size and spatial memory were indicated in the structure of male song: body size negatively correlated with song lowest frequency, while spatial memory positively predicted song consistency. Together, our findings lend support for cognition as a sexual selection target.","author":[{"dropping-particle":"","family":"Araya-Salas","given":"M.","non-dropping-particle":"","parse-names":false,"suffix":""},{"dropping-particle":"","family":"Gonzalez-Gomez","given":"P.","non-dropping-particle":"","parse-names":false,"suffix":""},{"dropping-particle":"","family":"Wojczulanis-Jakubas","given":"K.","non-dropping-particle":"","parse-names":false,"suffix":""},{"dropping-particle":"","family":"López","given":"V.","non-dropping-particle":"","parse-names":false,"suffix":""},{"dropping-particle":"","family":"Wright","given":"T.F.","non-dropping-particle":"","parse-names":false,"suffix":""}],"container-title":"Scientific Reports","id":"ITEM-1","issue":"1","issued":{"date-parts":[["2018"]]},"title":"Spatial memory is as important as weapon and body size for territorial ownership in a lekking hummingbird","type":"article-journal","volume":"8"},"uris":["http://www.mendeley.com/documents/?uuid=39f11fa8-f3e7-3faa-bcb0-4e322a90caac"]}],"mendeley":{"formattedCitation":"(Araya-Salas et al. 2018)","plainTextFormattedCitation":"(Araya-Salas et al. 2018)"},"properties":{"noteIndex":0},"schema":"https://github.com/citation-style-language/schema/raw/master/csl-citation.json"}</w:instrText>
      </w:r>
      <w:r w:rsidR="00022ECD">
        <w:rPr>
          <w:rFonts w:cstheme="minorHAnsi"/>
          <w:lang w:val="en-GB"/>
        </w:rPr>
        <w:fldChar w:fldCharType="separate"/>
      </w:r>
      <w:r w:rsidR="00022ECD" w:rsidRPr="00022ECD">
        <w:rPr>
          <w:rFonts w:cstheme="minorHAnsi"/>
          <w:noProof/>
          <w:lang w:val="en-GB"/>
        </w:rPr>
        <w:t>(Araya-Salas et al. 2018)</w:t>
      </w:r>
      <w:r w:rsidR="00022ECD">
        <w:rPr>
          <w:rFonts w:cstheme="minorHAnsi"/>
          <w:lang w:val="en-GB"/>
        </w:rPr>
        <w:fldChar w:fldCharType="end"/>
      </w:r>
      <w:r w:rsidRPr="00E4308A">
        <w:rPr>
          <w:rFonts w:cstheme="minorHAnsi"/>
          <w:lang w:val="en-GB"/>
        </w:rPr>
        <w:t>. Floaters</w:t>
      </w:r>
      <w:r>
        <w:rPr>
          <w:rFonts w:cstheme="minorHAnsi"/>
          <w:lang w:val="en-GB"/>
        </w:rPr>
        <w:t xml:space="preserve"> can be found singing from perches of territorial males while the latter are absent foraging. Territorial ownership is typically regained after an aggressive interaction with intruders, suggesting a selective pressure to reduce foraging time and increase territory attendance. Indeed, more efficient foraging males are more likely to own a lek territory </w:t>
      </w:r>
      <w:r w:rsidR="00022ECD">
        <w:rPr>
          <w:rFonts w:cstheme="minorHAnsi"/>
          <w:lang w:val="en-GB"/>
        </w:rPr>
        <w:fldChar w:fldCharType="begin" w:fldLock="1"/>
      </w:r>
      <w:r w:rsidR="00022ECD">
        <w:rPr>
          <w:rFonts w:cstheme="minorHAnsi"/>
          <w:lang w:val="en-GB"/>
        </w:rPr>
        <w:instrText>ADDIN CSL_CITATION {"citationItems":[{"id":"ITEM-1","itemData":{"DOI":"10.1038/s41598-018-20441-x","ISSN":"20452322","abstract":"© 2018 The Author(s). Advanced cognitive abilities have long been hypothesized to be important in mating. Yet, most work on sexual selection has focused on morphological traits and its relevance for cognitive evolution is poorly understood. We studied the spatial memory of lekking long-billed hermits (Phaethornis longirostris) and evaluated its role in lek territory ownership, the magnitude of its effect compared to phenotypic traits expected to influence sexual selection, and whether its variation is indicated in the structure of mating vocal signal. Spatial memory (the ability to recall the position of a rewarding feeder) was compared between \"territorial\" and \"floater\" males. Interestingly, although spatial memory and body size both positively affected the probability of lek territory ownership, our results suggest a stronger effect of spatial memory. Bill tip length (used as weapon in agonistic interactions) also showed a positive but smaller effect. Load lifting during vertical flight, a measure of physical performance relevant to agonistic interactions, had no effect on territory ownership. Finally, both body size and spatial memory were indicated in the structure of male song: body size negatively correlated with song lowest frequency, while spatial memory positively predicted song consistency. Together, our findings lend support for cognition as a sexual selection target.","author":[{"dropping-particle":"","family":"Araya-Salas","given":"M.","non-dropping-particle":"","parse-names":false,"suffix":""},{"dropping-particle":"","family":"Gonzalez-Gomez","given":"P.","non-dropping-particle":"","parse-names":false,"suffix":""},{"dropping-particle":"","family":"Wojczulanis-Jakubas","given":"K.","non-dropping-particle":"","parse-names":false,"suffix":""},{"dropping-particle":"","family":"López","given":"V.","non-dropping-particle":"","parse-names":false,"suffix":""},{"dropping-particle":"","family":"Wright","given":"T.F.","non-dropping-particle":"","parse-names":false,"suffix":""}],"container-title":"Scientific Reports","id":"ITEM-1","issue":"1","issued":{"date-parts":[["2018"]]},"title":"Spatial memory is as important as weapon and body size for territorial ownership in a lekking hummingbird","type":"article-journal","volume":"8"},"uris":["http://www.mendeley.com/documents/?uuid=39f11fa8-f3e7-3faa-bcb0-4e322a90caac"]}],"mendeley":{"formattedCitation":"(Araya-Salas et al. 2018)","plainTextFormattedCitation":"(Araya-Salas et al. 2018)"},"properties":{"noteIndex":0},"schema":"https://github.com/citation-style-language/schema/raw/master/csl-citation.json"}</w:instrText>
      </w:r>
      <w:r w:rsidR="00022ECD">
        <w:rPr>
          <w:rFonts w:cstheme="minorHAnsi"/>
          <w:lang w:val="en-GB"/>
        </w:rPr>
        <w:fldChar w:fldCharType="separate"/>
      </w:r>
      <w:r w:rsidR="00022ECD" w:rsidRPr="00022ECD">
        <w:rPr>
          <w:rFonts w:cstheme="minorHAnsi"/>
          <w:noProof/>
          <w:lang w:val="en-GB"/>
        </w:rPr>
        <w:t>(Araya-Salas et al. 2018)</w:t>
      </w:r>
      <w:r w:rsidR="00022ECD">
        <w:rPr>
          <w:rFonts w:cstheme="minorHAnsi"/>
          <w:lang w:val="en-GB"/>
        </w:rPr>
        <w:fldChar w:fldCharType="end"/>
      </w:r>
      <w:r>
        <w:rPr>
          <w:rFonts w:cstheme="minorHAnsi"/>
          <w:lang w:val="en-GB"/>
        </w:rPr>
        <w:t xml:space="preserve">. </w:t>
      </w:r>
    </w:p>
    <w:p w:rsidR="005939CD" w:rsidRDefault="00C24910">
      <w:pPr>
        <w:spacing w:line="480" w:lineRule="auto"/>
        <w:jc w:val="both"/>
        <w:rPr>
          <w:rFonts w:cstheme="minorHAnsi"/>
          <w:lang w:val="en-GB"/>
        </w:rPr>
      </w:pPr>
      <w:r>
        <w:rPr>
          <w:rFonts w:cstheme="minorHAnsi"/>
          <w:i/>
          <w:lang w:val="en-GB"/>
        </w:rPr>
        <w:t>Fieldwork.</w:t>
      </w:r>
      <w:r>
        <w:rPr>
          <w:rFonts w:cstheme="minorHAnsi"/>
          <w:lang w:val="en-GB"/>
        </w:rPr>
        <w:t xml:space="preserve"> We carried out the study at</w:t>
      </w:r>
      <w:r>
        <w:rPr>
          <w:rFonts w:cstheme="minorHAnsi"/>
          <w:lang w:val="pt"/>
        </w:rPr>
        <w:t xml:space="preserve"> </w:t>
      </w:r>
      <w:r>
        <w:rPr>
          <w:rFonts w:cstheme="minorHAnsi"/>
          <w:lang w:val="en-GB"/>
        </w:rPr>
        <w:t>La Selva Biological Station, Costa Rica (10</w:t>
      </w:r>
      <w:r>
        <w:rPr>
          <w:rFonts w:cstheme="minorHAnsi"/>
          <w:vertAlign w:val="superscript"/>
          <w:lang w:val="en-GB"/>
        </w:rPr>
        <w:t xml:space="preserve"> o</w:t>
      </w:r>
      <w:r>
        <w:rPr>
          <w:rFonts w:cstheme="minorHAnsi"/>
          <w:lang w:val="en-GB"/>
        </w:rPr>
        <w:t>23’ N, 84</w:t>
      </w:r>
      <w:r>
        <w:rPr>
          <w:rFonts w:cstheme="minorHAnsi"/>
          <w:vertAlign w:val="superscript"/>
          <w:lang w:val="en-GB"/>
        </w:rPr>
        <w:t>o</w:t>
      </w:r>
      <w:r>
        <w:rPr>
          <w:rFonts w:cstheme="minorHAnsi"/>
          <w:lang w:val="en-GB"/>
        </w:rPr>
        <w:t xml:space="preserve">10’ W) between May and June 2015. We captured and individually marked 21 individuals </w:t>
      </w:r>
      <w:r>
        <w:rPr>
          <w:rFonts w:cstheme="minorHAnsi"/>
          <w:lang w:val="pt"/>
        </w:rPr>
        <w:t xml:space="preserve">with </w:t>
      </w:r>
      <w:r>
        <w:rPr>
          <w:rFonts w:cstheme="minorHAnsi"/>
          <w:lang w:val="en-GB"/>
        </w:rPr>
        <w:t xml:space="preserve">foam tags (total weight of 0.02 g, which is ~0.3 % of LBH body mass, 6g) </w:t>
      </w:r>
      <w:r>
        <w:rPr>
          <w:rFonts w:cstheme="minorHAnsi"/>
          <w:lang w:val="pt"/>
        </w:rPr>
        <w:t>with</w:t>
      </w:r>
      <w:r>
        <w:rPr>
          <w:rFonts w:cstheme="minorHAnsi"/>
          <w:lang w:val="en-GB"/>
        </w:rPr>
        <w:t xml:space="preserve"> unique colour combinations, attached to the bird back and </w:t>
      </w:r>
      <w:r>
        <w:rPr>
          <w:rFonts w:cstheme="minorHAnsi"/>
          <w:lang w:val="pt"/>
        </w:rPr>
        <w:t xml:space="preserve">chest </w:t>
      </w:r>
      <w:r>
        <w:rPr>
          <w:rFonts w:cstheme="minorHAnsi"/>
          <w:lang w:val="en-GB"/>
        </w:rPr>
        <w:t xml:space="preserve">with nontoxic eyelash glue </w:t>
      </w:r>
      <w:r>
        <w:rPr>
          <w:rFonts w:cstheme="minorHAnsi"/>
          <w:lang w:val="pt"/>
        </w:rPr>
        <w:t>(</w:t>
      </w:r>
      <w:r>
        <w:rPr>
          <w:rFonts w:cstheme="minorHAnsi"/>
          <w:lang w:val="en-GB"/>
        </w:rPr>
        <w:fldChar w:fldCharType="begin" w:fldLock="1"/>
      </w:r>
      <w:r w:rsidR="00022ECD">
        <w:rPr>
          <w:rFonts w:cstheme="minorHAnsi"/>
          <w:lang w:val="en-GB"/>
        </w:rPr>
        <w:instrText>ADDIN CSL_CITATION {"citationItems":[{"id":"ITEM-1","itemData":{"DOI":"10.1038/s41598-018-20441-x","ISSN":"20452322","abstract":"© 2018 The Author(s). Advanced cognitive abilities have long been hypothesized to be important in mating. Yet, most work on sexual selection has focused on morphological traits and its relevance for cognitive evolution is poorly understood. We studied the spatial memory of lekking long-billed hermits (Phaethornis longirostris) and evaluated its role in lek territory ownership, the magnitude of its effect compared to phenotypic traits expected to influence sexual selection, and whether its variation is indicated in the structure of mating vocal signal. Spatial memory (the ability to recall the position of a rewarding feeder) was compared between \"territorial\" and \"floater\" males. Interestingly, although spatial memory and body size both positively affected the probability of lek territory ownership, our results suggest a stronger effect of spatial memory. Bill tip length (used as weapon in agonistic interactions) also showed a positive but smaller effect. Load lifting during vertical flight, a measure of physical performance relevant to agonistic interactions, had no effect on territory ownership. Finally, both body size and spatial memory were indicated in the structure of male song: body size negatively correlated with song lowest frequency, while spatial memory positively predicted song consistency. Together, our findings lend support for cognition as a sexual selection target.","author":[{"dropping-particle":"","family":"Araya-Salas","given":"M.","non-dropping-particle":"","parse-names":false,"suffix":""},{"dropping-particle":"","family":"Gonzalez-Gomez","given":"P.","non-dropping-particle":"","parse-names":false,"suffix":""},{"dropping-particle":"","family":"Wojczulanis-Jakubas","given":"K.","non-dropping-particle":"","parse-names":false,"suffix":""},{"dropping-particle":"","family":"López","given":"V.","non-dropping-particle":"","parse-names":false,"suffix":""},{"dropping-particle":"","family":"Wright","given":"T.F.","non-dropping-particle":"","parse-names":false,"suffix":""}],"container-title":"Scientific Reports","id":"ITEM-1","issue":"1","issued":{"date-parts":[["2018"]]},"title":"Spatial memory is as important as weapon and body size for territorial ownership in a lekking hummingbird","type":"article-journal","volume":"8"},"uris":["http://www.mendeley.com/documents/?uuid=39f11fa8-f3e7-3faa-bcb0-4e322a90caac"]}],"mendeley":{"formattedCitation":"(Araya-Salas et al. 2018)","manualFormatting":"Araya-Salas et al. 2018","plainTextFormattedCitation":"(Araya-Salas et al. 2018)","previouslyFormattedCitation":"(Araya-Salas et al. 2018)"},"properties":{"noteIndex":0},"schema":"https://github.com/citation-style-language/schema/raw/master/csl-citation.json"}</w:instrText>
      </w:r>
      <w:r>
        <w:rPr>
          <w:rFonts w:cstheme="minorHAnsi"/>
          <w:lang w:val="en-GB"/>
        </w:rPr>
        <w:fldChar w:fldCharType="separate"/>
      </w:r>
      <w:r>
        <w:rPr>
          <w:rFonts w:cstheme="minorHAnsi"/>
          <w:noProof/>
          <w:lang w:val="en-GB"/>
        </w:rPr>
        <w:t>Araya-Salas et al. 2018</w:t>
      </w:r>
      <w:r>
        <w:rPr>
          <w:rFonts w:cstheme="minorHAnsi"/>
          <w:lang w:val="en-GB"/>
        </w:rPr>
        <w:fldChar w:fldCharType="end"/>
      </w:r>
      <w:r>
        <w:rPr>
          <w:rFonts w:cstheme="minorHAnsi"/>
          <w:lang w:val="pt"/>
        </w:rPr>
        <w:t>)</w:t>
      </w:r>
      <w:r>
        <w:rPr>
          <w:rFonts w:cstheme="minorHAnsi"/>
          <w:lang w:val="en-GB"/>
        </w:rPr>
        <w:t xml:space="preserve">. To habituate birds to the study design, we exposed them to commercial hummingbird feeders (900 ml, the model: Perky Pet #209B, modified to have a single opening for accessing “nectar”), located in a distance of ca 100 m from the lek border. Location of the feeders did not overlap with foraging area of all the captured individuals, as in total we had 12 visitors at the feeders area, while all </w:t>
      </w:r>
      <w:r>
        <w:rPr>
          <w:rFonts w:cstheme="minorHAnsi"/>
          <w:lang w:val="pt"/>
        </w:rPr>
        <w:t xml:space="preserve">marked birds were observed on the lek after </w:t>
      </w:r>
      <w:r>
        <w:rPr>
          <w:rFonts w:cstheme="minorHAnsi"/>
          <w:lang w:val="en-GB"/>
        </w:rPr>
        <w:t>being caught</w:t>
      </w:r>
      <w:r>
        <w:rPr>
          <w:rFonts w:cstheme="minorHAnsi"/>
          <w:lang w:val="pt"/>
        </w:rPr>
        <w:t xml:space="preserve"> either defending territory or as floater</w:t>
      </w:r>
      <w:r>
        <w:rPr>
          <w:rFonts w:cstheme="minorHAnsi"/>
          <w:lang w:val="en-GB"/>
        </w:rPr>
        <w:t>s</w:t>
      </w:r>
      <w:r>
        <w:rPr>
          <w:rFonts w:cstheme="minorHAnsi"/>
          <w:lang w:val="pt"/>
        </w:rPr>
        <w:t xml:space="preserve"> (i.e. all of them survived the captu</w:t>
      </w:r>
      <w:r>
        <w:rPr>
          <w:rFonts w:cstheme="minorHAnsi"/>
          <w:lang w:val="en-GB"/>
        </w:rPr>
        <w:t>r</w:t>
      </w:r>
      <w:r>
        <w:rPr>
          <w:rFonts w:cstheme="minorHAnsi"/>
          <w:lang w:val="pt"/>
        </w:rPr>
        <w:t>ing and marking procedure).</w:t>
      </w:r>
    </w:p>
    <w:p w:rsidR="005939CD" w:rsidRDefault="00C24910">
      <w:pPr>
        <w:spacing w:line="480" w:lineRule="auto"/>
        <w:jc w:val="both"/>
        <w:rPr>
          <w:rFonts w:cstheme="minorHAnsi"/>
          <w:lang w:val="en-GB"/>
        </w:rPr>
      </w:pPr>
      <w:r>
        <w:rPr>
          <w:rFonts w:cstheme="minorHAnsi"/>
          <w:lang w:val="en-GB"/>
        </w:rPr>
        <w:lastRenderedPageBreak/>
        <w:t xml:space="preserve">To evaluate foraging efficiency in long-billed hermits and quantify it in low and high threat context, we applied a field experiment using a set-up of three feeders (as described above), filled up with ~30% sugar-water and arranged in a line (separated by ca 10 cm distance from each other, Fig. 1; Supplementary materials: videos S1 and S2). The experiment session consisted of two consecutive phases performed on the same day, in the low (first phase, control) and high threat contexts (second phase, experimental). During the whole experiment birds were allowed to forage on the nectar spontaneously and their behaviour was recorded by a commercial camera (continuous recording mode; model: </w:t>
      </w:r>
      <w:r>
        <w:rPr>
          <w:rFonts w:cstheme="minorHAnsi"/>
          <w:lang w:val="pt"/>
        </w:rPr>
        <w:t>Fujifilm HS30</w:t>
      </w:r>
      <w:r>
        <w:rPr>
          <w:rFonts w:cstheme="minorHAnsi"/>
          <w:lang w:val="en-GB"/>
        </w:rPr>
        <w:t>). We attached a dead bullet ant (</w:t>
      </w:r>
      <w:r>
        <w:rPr>
          <w:rFonts w:cstheme="minorHAnsi"/>
          <w:i/>
          <w:lang w:val="en-GB"/>
        </w:rPr>
        <w:t>Paraponera clavata</w:t>
      </w:r>
      <w:r>
        <w:rPr>
          <w:rFonts w:cstheme="minorHAnsi"/>
          <w:lang w:val="en-GB"/>
        </w:rPr>
        <w:t xml:space="preserve">; found dead in the forest) to feeders during the second phase, to simulate a threat. Although the ant is not a predator of hummingbirds </w:t>
      </w:r>
      <w:r>
        <w:rPr>
          <w:rFonts w:cstheme="minorHAnsi"/>
          <w:lang w:val="pt"/>
        </w:rPr>
        <w:t>its presence in flowers often scares</w:t>
      </w:r>
      <w:r>
        <w:rPr>
          <w:rFonts w:cstheme="minorHAnsi"/>
          <w:lang w:val="en-GB"/>
        </w:rPr>
        <w:t xml:space="preserve"> other</w:t>
      </w:r>
      <w:r>
        <w:rPr>
          <w:rFonts w:cstheme="minorHAnsi"/>
          <w:lang w:val="pt"/>
        </w:rPr>
        <w:t xml:space="preserve"> hummingbird species </w:t>
      </w:r>
      <w:r>
        <w:rPr>
          <w:rFonts w:cstheme="minorHAnsi"/>
          <w:lang w:val="en-GB"/>
        </w:rPr>
        <w:t xml:space="preserve">while long-billed hermits appear more hesitant to feed </w:t>
      </w:r>
      <w:r>
        <w:rPr>
          <w:rFonts w:cstheme="minorHAnsi"/>
          <w:lang w:val="pt"/>
        </w:rPr>
        <w:t>(</w:t>
      </w:r>
      <w:r>
        <w:rPr>
          <w:rFonts w:cstheme="minorHAnsi"/>
          <w:lang w:val="en-US"/>
        </w:rPr>
        <w:t>M.A.S.</w:t>
      </w:r>
      <w:r>
        <w:rPr>
          <w:rFonts w:cstheme="minorHAnsi"/>
          <w:lang w:val="pt"/>
        </w:rPr>
        <w:t>, pers. obs</w:t>
      </w:r>
      <w:r>
        <w:rPr>
          <w:rFonts w:cstheme="minorHAnsi"/>
          <w:lang w:val="en-GB"/>
        </w:rPr>
        <w:t>, suppl. mat. videos 1 and 2</w:t>
      </w:r>
      <w:r>
        <w:rPr>
          <w:rFonts w:cstheme="minorHAnsi"/>
          <w:lang w:val="pt"/>
        </w:rPr>
        <w:t>)</w:t>
      </w:r>
      <w:r>
        <w:rPr>
          <w:rFonts w:cstheme="minorHAnsi"/>
          <w:lang w:val="en-GB"/>
        </w:rPr>
        <w:t xml:space="preserve">. Importantly, attached bullet ants did not completely scare birds off, allowing the quantification of their foraging behaviour in these circumstances. Hence attaching bullet ant to feeders was expected to resemble situations of increased risk of being injured while still exploiting the feeding resource. </w:t>
      </w:r>
    </w:p>
    <w:p w:rsidR="005939CD" w:rsidRDefault="00C24910">
      <w:pPr>
        <w:spacing w:line="480" w:lineRule="auto"/>
        <w:jc w:val="both"/>
        <w:rPr>
          <w:rFonts w:cstheme="minorHAnsi"/>
          <w:lang w:val="pt"/>
        </w:rPr>
      </w:pPr>
      <w:r>
        <w:rPr>
          <w:rFonts w:cstheme="minorHAnsi"/>
          <w:lang w:val="en-GB"/>
        </w:rPr>
        <w:t xml:space="preserve">We performed three complete experiment sessions (with two phases) and two incomplete sessions (with one phase only, due to weather conditions), all within two weeks (with 2-3 days between sessions). The two complete (two phases) </w:t>
      </w:r>
      <w:r>
        <w:rPr>
          <w:rFonts w:cstheme="minorHAnsi"/>
          <w:lang w:val="pt"/>
        </w:rPr>
        <w:t xml:space="preserve">and two incomplete sessions (with control phase) were conducted in the mornings when the foraging activity peak occurs </w:t>
      </w:r>
      <w:r>
        <w:rPr>
          <w:rFonts w:cstheme="minorHAnsi"/>
          <w:lang w:val="pt"/>
        </w:rPr>
        <w:fldChar w:fldCharType="begin" w:fldLock="1"/>
      </w:r>
      <w:r w:rsidR="00022ECD">
        <w:rPr>
          <w:rFonts w:cstheme="minorHAnsi"/>
          <w:lang w:val="pt"/>
        </w:rPr>
        <w:instrText>ADDIN CSL_CITATION {"citationItems":[{"id":"ITEM-1","itemData":{"DOI":"http://dx.doi.org/10.2307/40166760","ISBN":"00786594","abstract":"Phaethornis superciliosus","author":[{"dropping-particle":"","family":"Stiles","given":"F. Gary","non-dropping-particle":"","parse-names":false,"suffix":""},{"dropping-particle":"","family":"Wolf","given":"Larry L.","non-dropping-particle":"","parse-names":false,"suffix":""}],"container-title":"Ornithological Monographs","id":"ITEM-1","issued":{"date-parts":[["1979"]]},"page":"78","title":"Ecology and evolution of lek mating behavior in the Long-tailed Hermit hummingbird","type":"article-journal","volume":"27"},"uris":["http://www.mendeley.com/documents/?uuid=cb6d52e5-c52d-4e68-8e69-83e8f5bca49c"]}],"mendeley":{"formattedCitation":"(Stiles and Wolf 1979)","manualFormatting":"(Stiles &amp; Wolf, 1979)","plainTextFormattedCitation":"(Stiles and Wolf 1979)","previouslyFormattedCitation":"(Stiles and Wolf 1979)"},"properties":{"noteIndex":0},"schema":"https://github.com/citation-style-language/schema/raw/master/csl-citation.json"}</w:instrText>
      </w:r>
      <w:r>
        <w:rPr>
          <w:rFonts w:cstheme="minorHAnsi"/>
          <w:lang w:val="pt"/>
        </w:rPr>
        <w:fldChar w:fldCharType="separate"/>
      </w:r>
      <w:r>
        <w:rPr>
          <w:rFonts w:cstheme="minorHAnsi"/>
          <w:noProof/>
          <w:lang w:val="pt"/>
        </w:rPr>
        <w:t>(Stiles &amp; Wolf, 1979)</w:t>
      </w:r>
      <w:r>
        <w:rPr>
          <w:rFonts w:cstheme="minorHAnsi"/>
          <w:lang w:val="pt"/>
        </w:rPr>
        <w:fldChar w:fldCharType="end"/>
      </w:r>
      <w:r>
        <w:rPr>
          <w:rFonts w:cstheme="minorHAnsi"/>
          <w:lang w:val="pt"/>
        </w:rPr>
        <w:t>, and only a single complete experiment session was performed during an afternoon, when the activity is lower. The time of the day did not affect foraging effiency considerably (generalizd mixed effect model: foraging efficiency ~ hour (fixed effect; numeric) +  birdID (random effect; estimate: -0.009 ± SE 0.005, t = -1.74, df = 137.97, P = 0.08). Besides, since each experiment session was completed within three hours, experimental and control phases where performed roughly</w:t>
      </w:r>
      <w:r>
        <w:rPr>
          <w:rFonts w:cstheme="minorHAnsi"/>
          <w:lang w:val="en-GB"/>
        </w:rPr>
        <w:t xml:space="preserve"> at</w:t>
      </w:r>
      <w:r>
        <w:rPr>
          <w:rFonts w:cstheme="minorHAnsi"/>
          <w:lang w:val="pt"/>
        </w:rPr>
        <w:t xml:space="preserve"> the same time of the day and thus any potential day effect should not bias comparsions of the experimental and control phases. </w:t>
      </w:r>
    </w:p>
    <w:p w:rsidR="005939CD" w:rsidRDefault="00C24910">
      <w:pPr>
        <w:spacing w:before="240" w:line="480" w:lineRule="auto"/>
        <w:jc w:val="both"/>
        <w:rPr>
          <w:rFonts w:cstheme="minorHAnsi"/>
          <w:lang w:val="pt"/>
        </w:rPr>
      </w:pPr>
      <w:r>
        <w:rPr>
          <w:rFonts w:cstheme="minorHAnsi"/>
          <w:lang w:val="en-GB"/>
        </w:rPr>
        <w:lastRenderedPageBreak/>
        <w:t xml:space="preserve">The duration of control phases, including those from incomplete sessions, varied from 0.5 to 3 hours. Owing to regular visits of birds in these control conditions (ranging from 1 to 12 per hour per individual), we could record multiple visits of focal individuals, on average in total of 6 visits per individual (range 2-18). For experimental phases, we kept recording until all visitors observed during the preceding control phase returned to the feeders, resulting in an average of 3 visits per individual during this phase (range: 1-7). </w:t>
      </w:r>
      <w:r>
        <w:rPr>
          <w:rFonts w:cstheme="minorHAnsi"/>
          <w:lang w:val="pt"/>
        </w:rPr>
        <w:t xml:space="preserve">The control phase was performed always before the experimental </w:t>
      </w:r>
      <w:r>
        <w:rPr>
          <w:rFonts w:cstheme="minorHAnsi"/>
          <w:lang w:val="en-GB"/>
        </w:rPr>
        <w:t xml:space="preserve">one </w:t>
      </w:r>
      <w:r>
        <w:rPr>
          <w:rFonts w:cstheme="minorHAnsi"/>
          <w:lang w:val="pt"/>
        </w:rPr>
        <w:t xml:space="preserve">as doing </w:t>
      </w:r>
      <w:r>
        <w:rPr>
          <w:rFonts w:cstheme="minorHAnsi"/>
          <w:lang w:val="en-GB"/>
        </w:rPr>
        <w:t>so we could ensure recruitment of individuals to both phases. The presence of the bullet ant on their very first encounter with the feeders in a given day might preclude birds to explore the resource. T</w:t>
      </w:r>
      <w:r>
        <w:rPr>
          <w:rFonts w:cstheme="minorHAnsi"/>
          <w:lang w:val="pt"/>
        </w:rPr>
        <w:t xml:space="preserve">o mitigate </w:t>
      </w:r>
      <w:r>
        <w:rPr>
          <w:rFonts w:cstheme="minorHAnsi"/>
          <w:lang w:val="en-GB"/>
        </w:rPr>
        <w:t xml:space="preserve">the </w:t>
      </w:r>
      <w:r>
        <w:rPr>
          <w:rFonts w:cstheme="minorHAnsi"/>
          <w:lang w:val="pt"/>
        </w:rPr>
        <w:t xml:space="preserve">potentially negative effect of bullet ant exposure on the frequency of visits, we performed </w:t>
      </w:r>
      <w:r>
        <w:rPr>
          <w:rFonts w:cstheme="minorHAnsi"/>
          <w:lang w:val="en-GB"/>
        </w:rPr>
        <w:t xml:space="preserve">the </w:t>
      </w:r>
      <w:r>
        <w:rPr>
          <w:rFonts w:cstheme="minorHAnsi"/>
          <w:lang w:val="pt"/>
        </w:rPr>
        <w:t xml:space="preserve">sessions with 2-3 days in between. </w:t>
      </w:r>
      <w:r>
        <w:rPr>
          <w:rFonts w:cstheme="minorHAnsi"/>
          <w:lang w:val="en-GB"/>
        </w:rPr>
        <w:t>However, with such a</w:t>
      </w:r>
      <w:r w:rsidR="002E3F74">
        <w:rPr>
          <w:rFonts w:cstheme="minorHAnsi"/>
          <w:lang w:val="en-GB"/>
        </w:rPr>
        <w:t>n</w:t>
      </w:r>
      <w:r>
        <w:rPr>
          <w:rFonts w:cstheme="minorHAnsi"/>
          <w:lang w:val="en-GB"/>
        </w:rPr>
        <w:t xml:space="preserve"> experimental design we could not randomize treatments and controls phases. </w:t>
      </w:r>
      <w:r>
        <w:rPr>
          <w:rFonts w:cstheme="minorHAnsi"/>
          <w:lang w:val="pt"/>
        </w:rPr>
        <w:t xml:space="preserve">The fixed sequence of the experiment phases could bias results on foraging efficiency if that would decrease over the time of experiment session (e.g. due to satiation). To adress this concern, we analysed foraging efficency over the consecutive visit using data from control phases (see Supplementary Materials), and we found that indeed foraging efficiency may change over the time but that apparently happens only after a considerable number of visits of an individual. Since in our data set it was only the issue with single individuals at single control phases, we considered that issue of not particular importance. Besides, foraging efficency improved over the time, and given the fact that experiments with bullet ants were always performed after the control phases, a negative effect of the experimental treamtent  could be only mitigated (i.e. increase or no difference instead of decrease in foraging efficency would be observed). Since that did not happen, the results of the experiment are apparently solid (Supplementary Materials, Fig. S1 and S2). Consequently, we treated all the visits of particuar individuals as independent data points. </w:t>
      </w:r>
    </w:p>
    <w:p w:rsidR="005939CD" w:rsidRDefault="00C24910">
      <w:pPr>
        <w:spacing w:before="240" w:line="480" w:lineRule="auto"/>
        <w:jc w:val="both"/>
        <w:rPr>
          <w:rFonts w:cstheme="minorHAnsi"/>
          <w:lang w:val="en-GB"/>
        </w:rPr>
      </w:pPr>
      <w:r>
        <w:rPr>
          <w:rFonts w:cstheme="minorHAnsi"/>
          <w:i/>
          <w:lang w:val="en-GB"/>
        </w:rPr>
        <w:t>Videos analysis.</w:t>
      </w:r>
      <w:r>
        <w:rPr>
          <w:rFonts w:cstheme="minorHAnsi"/>
          <w:lang w:val="en-GB"/>
        </w:rPr>
        <w:t xml:space="preserve"> We screened the video recordings with VLC software (www.videolan.org), to locate and cut out video fragments with foraging visits of focal birds. Events of two or more individuals (long-billed hermits or a different species) visiting the feeders at the same time were uncommon and were excluded from analysis as interactions disrupted their regular foraging behaviour. A foraging visit </w:t>
      </w:r>
      <w:r>
        <w:rPr>
          <w:rFonts w:cstheme="minorHAnsi"/>
          <w:lang w:val="pt"/>
        </w:rPr>
        <w:t xml:space="preserve">was </w:t>
      </w:r>
      <w:r>
        <w:rPr>
          <w:rFonts w:cstheme="minorHAnsi"/>
          <w:lang w:val="en-GB"/>
        </w:rPr>
        <w:lastRenderedPageBreak/>
        <w:t xml:space="preserve">considered </w:t>
      </w:r>
      <w:r>
        <w:rPr>
          <w:rFonts w:cstheme="minorHAnsi"/>
          <w:lang w:val="pt"/>
        </w:rPr>
        <w:t xml:space="preserve">whenever a bird </w:t>
      </w:r>
      <w:r>
        <w:rPr>
          <w:rFonts w:cstheme="minorHAnsi"/>
          <w:lang w:val="en-GB"/>
        </w:rPr>
        <w:t xml:space="preserve">inserted the bill into a feeder at least once. For each bird’s visit we established key time-points (white and black circles on Fig. 1), with 0.1 seconds precision, using Cowlog software </w:t>
      </w:r>
      <w:r>
        <w:rPr>
          <w:rFonts w:cstheme="minorHAnsi"/>
          <w:lang w:val="en-GB"/>
        </w:rPr>
        <w:fldChar w:fldCharType="begin" w:fldLock="1"/>
      </w:r>
      <w:r w:rsidR="00022ECD">
        <w:rPr>
          <w:rFonts w:cstheme="minorHAnsi"/>
          <w:lang w:val="en-GB"/>
        </w:rPr>
        <w:instrText>ADDIN CSL_CITATION {"citationItems":[{"id":"ITEM-1","itemData":{"DOI":"10.1111/j.1461-9563.2008.00379.x","ISSN":"0021-8561","author":[{"dropping-particle":"","family":"Pastell","given":"Matti","non-dropping-particle":"","parse-names":false,"suffix":""}],"container-title":"Journal of open research software","id":"ITEM-1","issue":"e15","issued":{"date-parts":[["2016"]]},"page":"1-4","title":"CowLog – cross-platform application for coding behaviours from video","type":"article","volume":"25"},"uris":["http://www.mendeley.com/documents/?uuid=e5dde294-7f41-45a7-bfdf-f9edf5b46e05"]}],"mendeley":{"formattedCitation":"(Pastell 2016)","plainTextFormattedCitation":"(Pastell 2016)","previouslyFormattedCitation":"(Pastell 2016)"},"properties":{"noteIndex":0},"schema":"https://github.com/citation-style-language/schema/raw/master/csl-citation.json"}</w:instrText>
      </w:r>
      <w:r>
        <w:rPr>
          <w:rFonts w:cstheme="minorHAnsi"/>
          <w:lang w:val="en-GB"/>
        </w:rPr>
        <w:fldChar w:fldCharType="separate"/>
      </w:r>
      <w:r w:rsidR="00022ECD" w:rsidRPr="00022ECD">
        <w:rPr>
          <w:rFonts w:cstheme="minorHAnsi"/>
          <w:noProof/>
          <w:lang w:val="en-GB"/>
        </w:rPr>
        <w:t>(Pastell 2016)</w:t>
      </w:r>
      <w:r>
        <w:rPr>
          <w:rFonts w:cstheme="minorHAnsi"/>
          <w:lang w:val="en-GB"/>
        </w:rPr>
        <w:fldChar w:fldCharType="end"/>
      </w:r>
      <w:r>
        <w:rPr>
          <w:rFonts w:cstheme="minorHAnsi"/>
          <w:lang w:val="en-GB"/>
        </w:rPr>
        <w:t>. Based on these time-points we calculated</w:t>
      </w:r>
      <w:r>
        <w:rPr>
          <w:rFonts w:cstheme="minorHAnsi"/>
          <w:lang w:val="pt"/>
        </w:rPr>
        <w:t xml:space="preserve"> the duration of</w:t>
      </w:r>
      <w:r>
        <w:rPr>
          <w:rFonts w:cstheme="minorHAnsi"/>
          <w:lang w:val="en-GB"/>
        </w:rPr>
        <w:t xml:space="preserve"> latency to forage, defined as the interval between appearance in the feeder area (when started to hover in front of the feeder in a distance of ca 0.5 m) and the onset of foraging (time from </w:t>
      </w:r>
      <w:r>
        <w:rPr>
          <w:rFonts w:cstheme="minorHAnsi"/>
          <w:i/>
          <w:lang w:val="en-GB"/>
        </w:rPr>
        <w:t>a</w:t>
      </w:r>
      <w:r>
        <w:rPr>
          <w:rFonts w:cstheme="minorHAnsi"/>
          <w:lang w:val="en-GB"/>
        </w:rPr>
        <w:t xml:space="preserve"> to </w:t>
      </w:r>
      <w:r>
        <w:rPr>
          <w:rFonts w:cstheme="minorHAnsi"/>
          <w:i/>
          <w:lang w:val="en-GB"/>
        </w:rPr>
        <w:t>b</w:t>
      </w:r>
      <w:r>
        <w:rPr>
          <w:rFonts w:cstheme="minorHAnsi"/>
          <w:lang w:val="en-GB"/>
        </w:rPr>
        <w:t xml:space="preserve"> on Fig. 1); duration of feeding interval/s (time from </w:t>
      </w:r>
      <w:r>
        <w:rPr>
          <w:rFonts w:cstheme="minorHAnsi"/>
          <w:i/>
          <w:lang w:val="en-GB"/>
        </w:rPr>
        <w:t>b</w:t>
      </w:r>
      <w:r>
        <w:rPr>
          <w:rFonts w:cstheme="minorHAnsi"/>
          <w:lang w:val="en-GB"/>
        </w:rPr>
        <w:t xml:space="preserve"> to </w:t>
      </w:r>
      <w:r>
        <w:rPr>
          <w:rFonts w:cstheme="minorHAnsi"/>
          <w:i/>
          <w:lang w:val="en-GB"/>
        </w:rPr>
        <w:t>c</w:t>
      </w:r>
      <w:r>
        <w:rPr>
          <w:rFonts w:cstheme="minorHAnsi"/>
          <w:lang w:val="en-GB"/>
        </w:rPr>
        <w:t xml:space="preserve"> on Fig. 1; on average 4.9 events, with a range of 1-26); duration of feeding break/s (time from </w:t>
      </w:r>
      <w:r>
        <w:rPr>
          <w:rFonts w:cstheme="minorHAnsi"/>
          <w:i/>
          <w:lang w:val="en-GB"/>
        </w:rPr>
        <w:t>c</w:t>
      </w:r>
      <w:r>
        <w:rPr>
          <w:rFonts w:cstheme="minorHAnsi"/>
          <w:lang w:val="en-GB"/>
        </w:rPr>
        <w:t xml:space="preserve"> to </w:t>
      </w:r>
      <w:r>
        <w:rPr>
          <w:rFonts w:cstheme="minorHAnsi"/>
          <w:i/>
          <w:lang w:val="en-GB"/>
        </w:rPr>
        <w:t>d</w:t>
      </w:r>
      <w:r>
        <w:rPr>
          <w:rFonts w:cstheme="minorHAnsi"/>
          <w:lang w:val="en-GB"/>
        </w:rPr>
        <w:t xml:space="preserve"> on Fig. 1); duration of total foraging (time from </w:t>
      </w:r>
      <w:r>
        <w:rPr>
          <w:rFonts w:cstheme="minorHAnsi"/>
          <w:i/>
          <w:lang w:val="en-GB"/>
        </w:rPr>
        <w:t>b</w:t>
      </w:r>
      <w:r>
        <w:rPr>
          <w:rFonts w:cstheme="minorHAnsi"/>
          <w:lang w:val="en-GB"/>
        </w:rPr>
        <w:t xml:space="preserve"> to </w:t>
      </w:r>
      <w:r>
        <w:rPr>
          <w:rFonts w:cstheme="minorHAnsi"/>
          <w:i/>
          <w:lang w:val="en-GB"/>
        </w:rPr>
        <w:t>e</w:t>
      </w:r>
      <w:r>
        <w:rPr>
          <w:rFonts w:cstheme="minorHAnsi"/>
          <w:lang w:val="en-GB"/>
        </w:rPr>
        <w:t xml:space="preserve">, Fig. 1) and duration of total foraging visit (time from </w:t>
      </w:r>
      <w:r>
        <w:rPr>
          <w:rFonts w:cstheme="minorHAnsi"/>
          <w:i/>
          <w:lang w:val="en-GB"/>
        </w:rPr>
        <w:t>a</w:t>
      </w:r>
      <w:r>
        <w:rPr>
          <w:rFonts w:cstheme="minorHAnsi"/>
          <w:lang w:val="en-GB"/>
        </w:rPr>
        <w:t xml:space="preserve"> to </w:t>
      </w:r>
      <w:r>
        <w:rPr>
          <w:rFonts w:cstheme="minorHAnsi"/>
          <w:i/>
          <w:lang w:val="en-GB"/>
        </w:rPr>
        <w:t>e</w:t>
      </w:r>
      <w:r>
        <w:rPr>
          <w:rFonts w:cstheme="minorHAnsi"/>
          <w:lang w:val="en-GB"/>
        </w:rPr>
        <w:t xml:space="preserve"> on Fig. 1). For each visit we also noted which and how many times each of the three feeders were used by the focal bird. </w:t>
      </w:r>
      <w:r>
        <w:rPr>
          <w:rFonts w:cstheme="minorHAnsi"/>
          <w:lang w:val="en-GB"/>
        </w:rPr>
        <w:tab/>
      </w:r>
    </w:p>
    <w:p w:rsidR="005939CD" w:rsidRDefault="00C24910">
      <w:pPr>
        <w:spacing w:line="480" w:lineRule="auto"/>
        <w:jc w:val="both"/>
        <w:rPr>
          <w:rFonts w:cstheme="minorHAnsi"/>
          <w:lang w:val="en-GB"/>
        </w:rPr>
      </w:pPr>
      <w:r>
        <w:rPr>
          <w:rFonts w:cstheme="minorHAnsi"/>
          <w:lang w:val="en-GB"/>
        </w:rPr>
        <w:t xml:space="preserve">To quantify bird movements around the feeders, we took advantage of the line-arrangement of the feeders that greatly restricted birds activity within two axis. That simplified further analyses, as operating in two-dimensional space we could establish Cartesian coordinates of a bird position for each video frame </w:t>
      </w:r>
      <w:r>
        <w:rPr>
          <w:rFonts w:cstheme="minorHAnsi"/>
          <w:lang w:val="pt"/>
        </w:rPr>
        <w:t>using the  software</w:t>
      </w:r>
      <w:r>
        <w:rPr>
          <w:rFonts w:cstheme="minorHAnsi"/>
          <w:lang w:val="en-GB"/>
        </w:rPr>
        <w:t xml:space="preserve"> Tracker </w:t>
      </w:r>
      <w:r>
        <w:rPr>
          <w:rFonts w:cstheme="minorHAnsi"/>
          <w:lang w:val="pt"/>
        </w:rPr>
        <w:t xml:space="preserve">version </w:t>
      </w:r>
      <w:r>
        <w:rPr>
          <w:rFonts w:cstheme="minorHAnsi"/>
          <w:lang w:val="en-GB"/>
        </w:rPr>
        <w:t>5.1.5 (physlets.org/tracker). Based on those coordinates we calculated distances between each two bird’s positions using Pythagoras theorem.</w:t>
      </w:r>
    </w:p>
    <w:p w:rsidR="005939CD" w:rsidRDefault="00C24910">
      <w:pPr>
        <w:spacing w:line="480" w:lineRule="auto"/>
        <w:jc w:val="both"/>
        <w:rPr>
          <w:rFonts w:cstheme="minorHAnsi"/>
          <w:lang w:val="en-GB"/>
        </w:rPr>
      </w:pPr>
      <w:r>
        <w:rPr>
          <w:rFonts w:cstheme="minorHAnsi"/>
          <w:i/>
          <w:lang w:val="en-GB"/>
        </w:rPr>
        <w:t xml:space="preserve">Parameters. </w:t>
      </w:r>
      <w:r>
        <w:rPr>
          <w:rFonts w:cstheme="minorHAnsi"/>
          <w:lang w:val="en-GB"/>
        </w:rPr>
        <w:t xml:space="preserve">We calculated </w:t>
      </w:r>
      <w:r>
        <w:rPr>
          <w:rFonts w:cstheme="minorHAnsi"/>
          <w:bCs/>
          <w:lang w:val="en-GB"/>
        </w:rPr>
        <w:t xml:space="preserve">foraging efficiency </w:t>
      </w:r>
      <w:r>
        <w:rPr>
          <w:rFonts w:cstheme="minorHAnsi"/>
          <w:lang w:val="pt"/>
        </w:rPr>
        <w:t>as the ratio</w:t>
      </w:r>
      <w:r>
        <w:rPr>
          <w:rFonts w:cstheme="minorHAnsi"/>
          <w:lang w:val="en-GB"/>
        </w:rPr>
        <w:t xml:space="preserve"> </w:t>
      </w:r>
      <w:r>
        <w:rPr>
          <w:rFonts w:cstheme="minorHAnsi"/>
          <w:lang w:val="pt"/>
        </w:rPr>
        <w:t xml:space="preserve">of </w:t>
      </w:r>
      <w:r>
        <w:rPr>
          <w:rFonts w:cstheme="minorHAnsi"/>
          <w:lang w:val="en-GB"/>
        </w:rPr>
        <w:t xml:space="preserve">the total duration of foraging (sum of </w:t>
      </w:r>
      <w:r>
        <w:rPr>
          <w:rFonts w:cstheme="minorHAnsi"/>
          <w:lang w:val="pt"/>
        </w:rPr>
        <w:t xml:space="preserve">the </w:t>
      </w:r>
      <w:r>
        <w:rPr>
          <w:rFonts w:cstheme="minorHAnsi"/>
          <w:lang w:val="en-GB"/>
        </w:rPr>
        <w:t xml:space="preserve">duration </w:t>
      </w:r>
      <w:r>
        <w:rPr>
          <w:rFonts w:cstheme="minorHAnsi"/>
          <w:lang w:val="pt"/>
        </w:rPr>
        <w:t xml:space="preserve">of </w:t>
      </w:r>
      <w:r>
        <w:rPr>
          <w:rFonts w:cstheme="minorHAnsi"/>
          <w:lang w:val="en-GB"/>
        </w:rPr>
        <w:t xml:space="preserve">all feeding intervals) </w:t>
      </w:r>
      <w:r>
        <w:rPr>
          <w:rFonts w:cstheme="minorHAnsi"/>
          <w:lang w:val="pt"/>
        </w:rPr>
        <w:t xml:space="preserve">to </w:t>
      </w:r>
      <w:r>
        <w:rPr>
          <w:rFonts w:cstheme="minorHAnsi"/>
          <w:lang w:val="en-GB"/>
        </w:rPr>
        <w:t xml:space="preserve">the total duration of the foraging visit. To characterize foraging strategies we </w:t>
      </w:r>
      <w:r>
        <w:rPr>
          <w:rFonts w:cstheme="minorHAnsi"/>
          <w:lang w:val="pt"/>
        </w:rPr>
        <w:t xml:space="preserve">measured </w:t>
      </w:r>
      <w:r>
        <w:rPr>
          <w:rFonts w:cstheme="minorHAnsi"/>
          <w:lang w:val="en-GB"/>
        </w:rPr>
        <w:t>three behaviour</w:t>
      </w:r>
      <w:r>
        <w:rPr>
          <w:rFonts w:cstheme="minorHAnsi"/>
          <w:lang w:val="pt"/>
        </w:rPr>
        <w:t>al features</w:t>
      </w:r>
      <w:r>
        <w:rPr>
          <w:rFonts w:cstheme="minorHAnsi"/>
          <w:lang w:val="en-GB"/>
        </w:rPr>
        <w:t xml:space="preserve"> that</w:t>
      </w:r>
      <w:r>
        <w:rPr>
          <w:rFonts w:cstheme="minorHAnsi"/>
          <w:lang w:val="pt"/>
        </w:rPr>
        <w:t xml:space="preserve"> have been linked to intrisic individual characteristics in other species </w:t>
      </w:r>
      <w:r>
        <w:rPr>
          <w:rFonts w:cstheme="minorHAnsi"/>
          <w:lang w:val="en-GB"/>
        </w:rPr>
        <w:t xml:space="preserve">and shown to affect foraging: exploration, risk-avoidance and arousal </w:t>
      </w:r>
      <w:r>
        <w:rPr>
          <w:rFonts w:cstheme="minorHAnsi"/>
          <w:lang w:val="en-GB"/>
        </w:rPr>
        <w:fldChar w:fldCharType="begin" w:fldLock="1"/>
      </w:r>
      <w:r w:rsidR="00022ECD">
        <w:rPr>
          <w:rFonts w:cstheme="minorHAnsi"/>
          <w:lang w:val="en-GB"/>
        </w:rPr>
        <w:instrText>ADDIN CSL_CITATION {"citationItems":[{"id":"ITEM-1","itemData":{"DOI":"10.1098/rspb.2011.2227","ISSN":"14712970","abstract":"Theory suggests that individual personality is tightly linked to individual life histories and to environmental variation. The reactive-proactive axis, for example, is thought to reflect whether individuals prioritize productivity or survival, mutually exclusive options that can be caused by conflicts between foraging and anti-predation behaviour. Evidence for this trade-off hypothesis, however, is limited. Here, we tested experimentally whether exploration behaviour (EB), an assay of proactivity, could explain how great tits (Parus major) respond to changes in starvation and predation risk. Individuals were presented with two feeders, holding good or poor quality food, which interchanged between safe and dangerous positions 10 m apart, across two 24 h treatments. Starvation risk was assumed to be highest in the morning and lowest in the afternoon. The proportion of time spent feeding on good quality food (PTG) rather than poor quality food was repeatable within treatments, but individuals varied in how PTG changed with respect to predation- and starvation-risk across treatments. This individual plasticity variation in foraging behaviour was linked to EB, as predicted by the reactive-proactive axis, but only among individuals in dominant social classes. Our results support the trade-off hypothesis at the level of individuals in a wild population, and suggest that fine-scale temporal and spatial variation may play important roles in the evolution of personality. © 2011 The Royal Society.","author":[{"dropping-particle":"","family":"Quinn","given":"J. L.","non-dropping-particle":"","parse-names":false,"suffix":""},{"dropping-particle":"","family":"Cole","given":"E. F.","non-dropping-particle":"","parse-names":false,"suffix":""},{"dropping-particle":"","family":"Bates","given":"J.","non-dropping-particle":"","parse-names":false,"suffix":""},{"dropping-particle":"","family":"Payne","given":"R. W.","non-dropping-particle":"","parse-names":false,"suffix":""},{"dropping-particle":"","family":"Cresswell","given":"W.","non-dropping-particle":"","parse-names":false,"suffix":""}],"container-title":"Proceedings of the Royal Society B: Biological Sciences","id":"ITEM-1","issue":"1735","issued":{"date-parts":[["2012"]]},"page":"1919-1926","title":"Personality predicts individual responsiveness to the risks of starvation and predation","type":"article-journal","volume":"279"},"uris":["http://www.mendeley.com/documents/?uuid=ece0f9a3-37c5-4701-8aa2-da46e3e24b9b"]},{"id":"ITEM-2","itemData":{"DOI":"10.1093/beheco/arr185","ISSN":"10452249","abstract":"Although the occurrence of individuals' behavioral differences in a \"shyness-boldness\" continuum (i.e., animals' propensity to take risks) is well established from experimental studies, little is known about how this personality trait might influence individual predation risk management decisions in natural systems. We recorded the risk management strategies (RMS) of a natural population of redshanks by observing the daily behavioral decisions made by foraging individuals. These included proximity to neighbors, flock size, position with respect to predator concealing cover, and vigilance. Using hierarchical mixed effects models, we found that although variation in most of these RMS had a significant individual component, only vigilance was moderately repeatable and therefore a personality trait. There was no evidence for a behavioral risk management syndrome: there were no significant correlations of vigilance with aggressiveness or exploratory behavior. Vigilance levels were highly flexible, were adjusted to the riskiness of the situation, and individuals varied in the degree of this plasticity, suggesting that a redshank's boldness (personality) may only contribute a small amount to natural risk management and that it is situation dependent. This emphasizes that although variable risk and profitability in the environment may select for different personalities (e.g., that determine baseline levels of vigilance all things being equal), these baseline levels can be modified greatly through behavioral flexibility when individuals are confronted by a change in environmental context, potentially removing these differences. © The Author 2011.","author":[{"dropping-particle":"","family":"Couchoux","given":"Charline","non-dropping-particle":"","parse-names":false,"suffix":""},{"dropping-particle":"","family":"Cresswell","given":"Will","non-dropping-particle":"","parse-names":false,"suffix":""}],"container-title":"Behavioral Ecology","id":"ITEM-2","issue":"2","issued":{"date-parts":[["2012"]]},"page":"290-301","title":"Personality constraints versus flexible antipredation behaviors: How important is boldness in risk management of redshanks (Tringa totanus) foraging in a natural system?","type":"article-journal","volume":"23"},"uris":["http://www.mendeley.com/documents/?uuid=2a44f54f-9bd3-412a-87fb-a396607a32e7"]},{"id":"ITEM-3","itemData":{"DOI":"10.1111/j.1469-185X.2007.00010.x","ISSN":"14647931","PMID":"17437562","abstract":"Temperament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 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 © 2007 Cambridge Philosophical Society.","author":[{"dropping-particle":"","family":"Réale","given":"Denis","non-dropping-particle":"","parse-names":false,"suffix":""},{"dropping-particle":"","family":"Reader","given":"Simon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Reviews","id":"ITEM-3","issue":"2","issued":{"date-parts":[["2007"]]},"page":"291-318","title":"Integrating animal temperament within ecology and evolution","type":"article-journal","volume":"82"},"uris":["http://www.mendeley.com/documents/?uuid=7b4528c1-810c-46d1-9f1a-094602912760"]},{"id":"ITEM-4","itemData":{"DOI":"10.1093/beheco/aru131","ISSN":"14657279","abstract":"In captivity, personality types differ in behavioral flexibility: \"fast\" (neophilic, exploratory, and aggressive) types quickly form routines, whereas \"slow\" types continually adjust their behavior with environmental changes. If these differences extend to pertinent natural environmental changes, which indicate changing predation or starvation threat, then personality may reflect important variation in how animals manage risk. We examined whether personality traits classified in captivity would predict the behavioral flexibility of blue tits Cyanistes caeruleus as they foraged in the wild. Behavioral flexibility was defined as the tendency to adjust feeder use with changing winter air temperature, an indicator of starvation risk. At the population level, birds reduced their feeder use on warm days. Individuals, though, varied widely, with some instead using feeders at a relatively fixed, temperature-independent rate. Sex and size, correlates of dominance in blue tits, did not predict behavioral flexibility. Instead, behavioral flexibility was predicted by age and 2 personality traits: old, neophobic, and exploratory birds were more behaviorally flexible than young, neophilic, and nonexploratory birds. Our findings suggest that personality types differ in how they use information about their environments and hence cope with environmental change.","author":[{"dropping-particle":"","family":"Herborn","given":"Katherine A.","non-dropping-particle":"","parse-names":false,"suffix":""},{"dropping-particle":"","family":"Heidinger","given":"Britt J.","non-dropping-particle":"","parse-names":false,"suffix":""},{"dropping-particle":"","family":"Alexander","given":"Lucille","non-dropping-particle":"","parse-names":false,"suffix":""},{"dropping-particle":"","family":"Arnold","given":"Kathryn E.","non-dropping-particle":"","parse-names":false,"suffix":""}],"container-title":"Behavioral Ecology","id":"ITEM-4","issue":"6","issued":{"date-parts":[["2014"]]},"page":"1374-1379","title":"Personality predicts behavioral flexibility in a fluctuating, natural environment","type":"article-journal","volume":"25"},"uris":["http://www.mendeley.com/documents/?uuid=bd43566f-0e94-4025-bb40-b9531a6623f6"]},{"id":"ITEM-5","itemData":{"DOI":"10.1093/beheco/arm144","author":[{"dropping-particle":"","family":"Smith","given":"Brian R","non-dropping-particle":"","parse-names":false,"suffix":""},{"dropping-particle":"","family":"Blumstein","given":"Daniel T","non-dropping-particle":"","parse-names":false,"suffix":""}],"container-title":"Behavioral Ecology","id":"ITEM-5","issue":"January","issued":{"date-parts":[["2008"]]},"title":"Fitness consequences of personality: a meta-analysis","type":"article-journal"},"uris":["http://www.mendeley.com/documents/?uuid=b3da6216-bb68-4957-a747-f38ec9f1e99f"]}],"mendeley":{"formattedCitation":"(Réale et al. 2007; Smith and Blumstein 2008; Couchoux and Cresswell 2012; Quinn et al. 2012a; Herborn et al. 2014)","plainTextFormattedCitation":"(Réale et al. 2007; Smith and Blumstein 2008; Couchoux and Cresswell 2012; Quinn et al. 2012a; Herborn et al. 2014)","previouslyFormattedCitation":"(Réale et al. 2007; Smith and Blumstein 2008; Couchoux and Cresswell 2012; Quinn et al. 2012a; Herborn et al. 2014)"},"properties":{"noteIndex":0},"schema":"https://github.com/citation-style-language/schema/raw/master/csl-citation.json"}</w:instrText>
      </w:r>
      <w:r>
        <w:rPr>
          <w:rFonts w:cstheme="minorHAnsi"/>
          <w:lang w:val="en-GB"/>
        </w:rPr>
        <w:fldChar w:fldCharType="separate"/>
      </w:r>
      <w:r w:rsidR="00022ECD" w:rsidRPr="00022ECD">
        <w:rPr>
          <w:rFonts w:cstheme="minorHAnsi"/>
          <w:noProof/>
          <w:lang w:val="en-GB"/>
        </w:rPr>
        <w:t>(Réale et al. 2007; Smith and Blumstein 2008; Couchoux and Cresswell 2012; Quinn et al. 2012a; Herborn et al. 2014)</w:t>
      </w:r>
      <w:r>
        <w:rPr>
          <w:rFonts w:cstheme="minorHAnsi"/>
          <w:lang w:val="en-GB"/>
        </w:rPr>
        <w:fldChar w:fldCharType="end"/>
      </w:r>
      <w:r>
        <w:rPr>
          <w:rFonts w:cstheme="minorHAnsi"/>
          <w:lang w:val="en-GB"/>
        </w:rPr>
        <w:t xml:space="preserve">. As a proxy for </w:t>
      </w:r>
      <w:r>
        <w:rPr>
          <w:rFonts w:cstheme="minorHAnsi"/>
          <w:b/>
          <w:lang w:val="en-GB"/>
        </w:rPr>
        <w:t>exploration</w:t>
      </w:r>
      <w:r>
        <w:rPr>
          <w:rFonts w:cstheme="minorHAnsi"/>
          <w:lang w:val="en-GB"/>
        </w:rPr>
        <w:t xml:space="preserve"> we utilized the rate of visited feeder; the number of feeders divided by the total duration of the visit as visits to new feeders are likely to be a function of time spend at the feeders. As a proxy for </w:t>
      </w:r>
      <w:r>
        <w:rPr>
          <w:rFonts w:cstheme="minorHAnsi"/>
          <w:b/>
          <w:lang w:val="en-GB"/>
        </w:rPr>
        <w:t xml:space="preserve">risk-avoidance </w:t>
      </w:r>
      <w:r>
        <w:rPr>
          <w:rFonts w:cstheme="minorHAnsi"/>
          <w:lang w:val="en-GB"/>
        </w:rPr>
        <w:t xml:space="preserve">we used latency to start to forage, as defined above (time from </w:t>
      </w:r>
      <w:r>
        <w:rPr>
          <w:rFonts w:cstheme="minorHAnsi"/>
          <w:i/>
          <w:lang w:val="en-GB"/>
        </w:rPr>
        <w:t>a</w:t>
      </w:r>
      <w:r>
        <w:rPr>
          <w:rFonts w:cstheme="minorHAnsi"/>
          <w:lang w:val="en-GB"/>
        </w:rPr>
        <w:t xml:space="preserve"> to </w:t>
      </w:r>
      <w:r>
        <w:rPr>
          <w:rFonts w:cstheme="minorHAnsi"/>
          <w:i/>
          <w:lang w:val="en-GB"/>
        </w:rPr>
        <w:t>b</w:t>
      </w:r>
      <w:r>
        <w:rPr>
          <w:rFonts w:cstheme="minorHAnsi"/>
          <w:lang w:val="en-GB"/>
        </w:rPr>
        <w:t xml:space="preserve"> on Fig. 1). For both parameters, the higher the value, the stronger was the exhibited behaviour. As </w:t>
      </w:r>
      <w:r>
        <w:rPr>
          <w:rFonts w:cstheme="minorHAnsi"/>
          <w:b/>
          <w:lang w:val="en-GB"/>
        </w:rPr>
        <w:t>arousal</w:t>
      </w:r>
      <w:r>
        <w:rPr>
          <w:rFonts w:cstheme="minorHAnsi"/>
          <w:lang w:val="en-GB"/>
        </w:rPr>
        <w:t xml:space="preserve"> we considered </w:t>
      </w:r>
      <w:r>
        <w:rPr>
          <w:rFonts w:cstheme="minorHAnsi"/>
          <w:lang w:val="pt"/>
        </w:rPr>
        <w:t>the</w:t>
      </w:r>
      <w:r>
        <w:rPr>
          <w:rFonts w:cstheme="minorHAnsi"/>
          <w:lang w:val="en-GB"/>
        </w:rPr>
        <w:t xml:space="preserve"> coefficient of variance in spatial distances covered by an individual during the whole foraging visit, divided by the number of visited feeders. Therefore, it </w:t>
      </w:r>
      <w:r>
        <w:rPr>
          <w:rFonts w:cstheme="minorHAnsi"/>
          <w:lang w:val="en-GB"/>
        </w:rPr>
        <w:lastRenderedPageBreak/>
        <w:t xml:space="preserve">represents the mean distance covered while visiting a feeder. Higher distances were related to the higher arousal. </w:t>
      </w:r>
    </w:p>
    <w:p w:rsidR="005939CD" w:rsidRDefault="00C24910">
      <w:pPr>
        <w:spacing w:line="480" w:lineRule="auto"/>
        <w:jc w:val="both"/>
        <w:rPr>
          <w:rFonts w:cstheme="minorHAnsi"/>
          <w:lang w:val="en-GB"/>
        </w:rPr>
      </w:pPr>
      <w:r>
        <w:rPr>
          <w:rFonts w:cstheme="minorHAnsi"/>
          <w:i/>
          <w:lang w:val="en-GB"/>
        </w:rPr>
        <w:t>Data analysis.</w:t>
      </w:r>
      <w:r>
        <w:rPr>
          <w:rFonts w:cstheme="minorHAnsi"/>
          <w:lang w:val="en-GB"/>
        </w:rPr>
        <w:t xml:space="preserve"> All the analyses were performed in R </w:t>
      </w:r>
      <w:r>
        <w:rPr>
          <w:rFonts w:cstheme="minorHAnsi"/>
          <w:lang w:val="en-GB"/>
        </w:rPr>
        <w:fldChar w:fldCharType="begin" w:fldLock="1"/>
      </w:r>
      <w:r w:rsidR="00022ECD">
        <w:rPr>
          <w:rFonts w:cstheme="minorHAnsi"/>
          <w:lang w:val="en-GB"/>
        </w:rPr>
        <w:instrText>ADDIN CSL_CITATION {"citationItems":[{"id":"ITEM-1","itemData":{"author":[{"dropping-particle":"","family":"R Core Team","given":"","non-dropping-particle":"","parse-names":false,"suffix":""}],"id":"ITEM-1","issued":{"date-parts":[["2019"]]},"publisher":"Foundation for Statistical Computing","publisher-place":"Vienna, Austria","title":"R: A language and environment for statistical computing. R","type":"article"},"uris":["http://www.mendeley.com/documents/?uuid=9bc52c59-adc1-49b9-9cbf-86e6a209f6cf"]}],"mendeley":{"formattedCitation":"(R Core Team 2019)","plainTextFormattedCitation":"(R Core Team 2019)","previouslyFormattedCitation":"(R Core Team 2019)"},"properties":{"noteIndex":0},"schema":"https://github.com/citation-style-language/schema/raw/master/csl-citation.json"}</w:instrText>
      </w:r>
      <w:r>
        <w:rPr>
          <w:rFonts w:cstheme="minorHAnsi"/>
          <w:lang w:val="en-GB"/>
        </w:rPr>
        <w:fldChar w:fldCharType="separate"/>
      </w:r>
      <w:r w:rsidR="00022ECD" w:rsidRPr="00022ECD">
        <w:rPr>
          <w:rFonts w:cstheme="minorHAnsi"/>
          <w:noProof/>
          <w:lang w:val="en-GB"/>
        </w:rPr>
        <w:t>(R Core Team 2019)</w:t>
      </w:r>
      <w:r>
        <w:rPr>
          <w:rFonts w:cstheme="minorHAnsi"/>
          <w:lang w:val="en-GB"/>
        </w:rPr>
        <w:fldChar w:fldCharType="end"/>
      </w:r>
      <w:r>
        <w:rPr>
          <w:rFonts w:cstheme="minorHAnsi"/>
          <w:lang w:val="en-GB"/>
        </w:rPr>
        <w:t xml:space="preserve">. Since all parameters had skewed distribution, we log-transformed them prior to analyses (Fig. S2). We estimated the repeatability of foraging efficiency, exploration, risk-avoidance, and arousal using </w:t>
      </w:r>
      <w:r>
        <w:rPr>
          <w:rFonts w:cstheme="minorHAnsi"/>
          <w:i/>
          <w:lang w:val="en-GB"/>
        </w:rPr>
        <w:t>rptR</w:t>
      </w:r>
      <w:r>
        <w:rPr>
          <w:rFonts w:cstheme="minorHAnsi"/>
          <w:lang w:val="en-GB"/>
        </w:rPr>
        <w:t xml:space="preserve"> package </w:t>
      </w:r>
      <w:r>
        <w:rPr>
          <w:rFonts w:cstheme="minorHAnsi"/>
          <w:lang w:val="en-GB"/>
        </w:rPr>
        <w:fldChar w:fldCharType="begin" w:fldLock="1"/>
      </w:r>
      <w:r w:rsidR="00022ECD">
        <w:rPr>
          <w:rFonts w:cstheme="minorHAnsi"/>
          <w:lang w:val="en-GB"/>
        </w:rPr>
        <w:instrText>ADDIN CSL_CITATION {"citationItems":[{"id":"ITEM-1","itemData":{"DOI":"10.1111/2041-210X.12797","ISSN":"2041210X","abstract":"Intra-class correlations (ICC) and repeatabilities (R) are fundamental statistics for quantifying the reproducibility of measurements and for understanding the structure of biological variation. Linear mixed effects models offer a versatile framework for estimating ICC and R. However, while point estimation and significance testing by likelihood ratio tests is straightforward, the quantification of uncertainty is not as easily achieved. A further complication arises when the analysis is conducted on data with non-Gaussian distributions because the separation of the mean and the variance is less clear-cut for non-Gaussian than for Gaussian models. Nonetheless, there are solutions to approximate repeatability for the most widely used families of generalized linear mixed models (GLMMs). Here, we introduce the R package rptR for the estimation of ICC and R for Gaussian, binomial and Poisson-distributed data. Uncertainty in estimators is quantified by parametric bootstrapping and significance testing is implemented by likelihood ratio tests and through permutation of residuals. The package allows control for fixed effects and thus the estimation of adjusted repeatabilities (that remove fixed effect variance from the estimate) and enhanced agreement repeatabilities (that add fixed effect variance to the denominator). Furthermore, repeatability can be estimated from random-slope models. The package features convenient summary and plotting functions. Besides repeatabilities, the package also allows the quantification of coefficients of determination R2 as well as of raw variance components. We present an example analysis to demonstrate the core features and discuss some of the limitations of rptR.","author":[{"dropping-particle":"","family":"Stoffel","given":"Martin A.","non-dropping-particle":"","parse-names":false,"suffix":""},{"dropping-particle":"","family":"Nakagawa","given":"Shinichi","non-dropping-particle":"","parse-names":false,"suffix":""},{"dropping-particle":"","family":"Schielzeth","given":"Holger","non-dropping-particle":"","parse-names":false,"suffix":""}],"container-title":"Methods in Ecology and Evolution","id":"ITEM-1","issue":"11","issued":{"date-parts":[["2017"]]},"page":"1639-1644","title":"rptR: repeatability estimation and variance decomposition by generalized linear mixed-effects models","type":"article-journal","volume":"8"},"uris":["http://www.mendeley.com/documents/?uuid=a1dd440c-b01f-429f-9633-7996111ca709"]}],"mendeley":{"formattedCitation":"(Stoffel et al. 2017)","plainTextFormattedCitation":"(Stoffel et al. 2017)","previouslyFormattedCitation":"(Stoffel et al. 2017)"},"properties":{"noteIndex":0},"schema":"https://github.com/citation-style-language/schema/raw/master/csl-citation.json"}</w:instrText>
      </w:r>
      <w:r>
        <w:rPr>
          <w:rFonts w:cstheme="minorHAnsi"/>
          <w:lang w:val="en-GB"/>
        </w:rPr>
        <w:fldChar w:fldCharType="separate"/>
      </w:r>
      <w:r w:rsidR="00022ECD" w:rsidRPr="00022ECD">
        <w:rPr>
          <w:rFonts w:cstheme="minorHAnsi"/>
          <w:noProof/>
          <w:lang w:val="en-GB"/>
        </w:rPr>
        <w:t>(Stoffel et al. 2017)</w:t>
      </w:r>
      <w:r>
        <w:rPr>
          <w:rFonts w:cstheme="minorHAnsi"/>
          <w:lang w:val="en-GB"/>
        </w:rPr>
        <w:fldChar w:fldCharType="end"/>
      </w:r>
      <w:r>
        <w:rPr>
          <w:rFonts w:cstheme="minorHAnsi"/>
          <w:lang w:val="en-GB"/>
        </w:rPr>
        <w:t xml:space="preserve">. For that we used behavioural features measured during the low risk treatment only, which represented undisturbed conditions and for which we recorded multiple visits per individual. While fitting the repeatability model, we considered given behavioural variable (response variable) and birds identity [explanatory variable/random effect, </w:t>
      </w:r>
      <w:r>
        <w:rPr>
          <w:rFonts w:cstheme="minorHAnsi"/>
          <w:lang w:val="en-GB"/>
        </w:rPr>
        <w:fldChar w:fldCharType="begin" w:fldLock="1"/>
      </w:r>
      <w:r w:rsidR="00022ECD">
        <w:rPr>
          <w:rFonts w:cstheme="minorHAnsi"/>
          <w:lang w:val="en-GB"/>
        </w:rPr>
        <w:instrText>ADDIN CSL_CITATION {"citationItems":[{"id":"ITEM-1","itemData":{"DOI":"10.1111/2041-210X.12797","ISSN":"2041210X","abstract":"Intra-class correlations (ICC) and repeatabilities (R) are fundamental statistics for quantifying the reproducibility of measurements and for understanding the structure of biological variation. Linear mixed effects models offer a versatile framework for estimating ICC and R. However, while point estimation and significance testing by likelihood ratio tests is straightforward, the quantification of uncertainty is not as easily achieved. A further complication arises when the analysis is conducted on data with non-Gaussian distributions because the separation of the mean and the variance is less clear-cut for non-Gaussian than for Gaussian models. Nonetheless, there are solutions to approximate repeatability for the most widely used families of generalized linear mixed models (GLMMs). Here, we introduce the R package rptR for the estimation of ICC and R for Gaussian, binomial and Poisson-distributed data. Uncertainty in estimators is quantified by parametric bootstrapping and significance testing is implemented by likelihood ratio tests and through permutation of residuals. The package allows control for fixed effects and thus the estimation of adjusted repeatabilities (that remove fixed effect variance from the estimate) and enhanced agreement repeatabilities (that add fixed effect variance to the denominator). Furthermore, repeatability can be estimated from random-slope models. The package features convenient summary and plotting functions. Besides repeatabilities, the package also allows the quantification of coefficients of determination R2 as well as of raw variance components. We present an example analysis to demonstrate the core features and discuss some of the limitations of rptR.","author":[{"dropping-particle":"","family":"Stoffel","given":"Martin A.","non-dropping-particle":"","parse-names":false,"suffix":""},{"dropping-particle":"","family":"Nakagawa","given":"Shinichi","non-dropping-particle":"","parse-names":false,"suffix":""},{"dropping-particle":"","family":"Schielzeth","given":"Holger","non-dropping-particle":"","parse-names":false,"suffix":""}],"container-title":"Methods in Ecology and Evolution","id":"ITEM-1","issue":"11","issued":{"date-parts":[["2017"]]},"page":"1639-1644","title":"rptR: repeatability estimation and variance decomposition by generalized linear mixed-effects models","type":"article-journal","volume":"8"},"uris":["http://www.mendeley.com/documents/?uuid=a1dd440c-b01f-429f-9633-7996111ca709"]}],"mendeley":{"formattedCitation":"(Stoffel et al. 2017)","plainTextFormattedCitation":"(Stoffel et al. 2017)","previouslyFormattedCitation":"(Stoffel et al. 2017)"},"properties":{"noteIndex":0},"schema":"https://github.com/citation-style-language/schema/raw/master/csl-citation.json"}</w:instrText>
      </w:r>
      <w:r>
        <w:rPr>
          <w:rFonts w:cstheme="minorHAnsi"/>
          <w:lang w:val="en-GB"/>
        </w:rPr>
        <w:fldChar w:fldCharType="separate"/>
      </w:r>
      <w:r w:rsidR="00022ECD" w:rsidRPr="00022ECD">
        <w:rPr>
          <w:rFonts w:cstheme="minorHAnsi"/>
          <w:noProof/>
          <w:lang w:val="en-GB"/>
        </w:rPr>
        <w:t>(Stoffel et al. 2017)</w:t>
      </w:r>
      <w:r>
        <w:rPr>
          <w:rFonts w:cstheme="minorHAnsi"/>
          <w:lang w:val="en-GB"/>
        </w:rPr>
        <w:fldChar w:fldCharType="end"/>
      </w:r>
      <w:r>
        <w:rPr>
          <w:rFonts w:cstheme="minorHAnsi"/>
          <w:lang w:val="en-GB"/>
        </w:rPr>
        <w:t xml:space="preserve">]. We assessed variation in foraging efficiency (response variable) as a function of threat level and </w:t>
      </w:r>
      <w:r>
        <w:rPr>
          <w:rFonts w:cstheme="minorHAnsi"/>
          <w:lang w:val="en-US"/>
        </w:rPr>
        <w:t xml:space="preserve">intrinsic </w:t>
      </w:r>
      <w:r>
        <w:rPr>
          <w:rFonts w:cstheme="minorHAnsi"/>
          <w:lang w:val="en-GB"/>
        </w:rPr>
        <w:t xml:space="preserve">behavioural features (exploration, latency and arousal as predictors) using a Bayesian generalized linear mixed model with individuals as a random effect. We fitted three models representing alternative hypothesis explaining variation in foraging efficiency. The first model represent a more traditional view of foraging behaviour in which efficiency is only affected by the level of threat. The second model included an interaction among behavioural traits and threat level, which represents a more nuanced scenario in which the interplay between threat level and </w:t>
      </w:r>
      <w:r>
        <w:rPr>
          <w:rFonts w:cstheme="minorHAnsi"/>
          <w:lang w:val="en-US"/>
        </w:rPr>
        <w:t>intrinsic</w:t>
      </w:r>
      <w:r>
        <w:rPr>
          <w:rFonts w:cstheme="minorHAnsi"/>
          <w:lang w:val="en-GB"/>
        </w:rPr>
        <w:t xml:space="preserve"> behavioural differences determines foraging efficiency. There was only little collinearity between predictors (correlation coefficient range from -0.21 to -0.10; Fig. S3). Finally, we also fitted an intercept-only model representing the scenario in which the proposed predictors do not affect efficiency. These three alternative models were compared using model selection based on the deviance information criteria (DIC) </w:t>
      </w:r>
      <w:r>
        <w:rPr>
          <w:rFonts w:cstheme="minorHAnsi"/>
          <w:lang w:val="en-GB"/>
        </w:rPr>
        <w:fldChar w:fldCharType="begin" w:fldLock="1"/>
      </w:r>
      <w:r w:rsidR="00022ECD">
        <w:rPr>
          <w:rFonts w:cstheme="minorHAnsi"/>
          <w:lang w:val="en-GB"/>
        </w:rPr>
        <w:instrText>ADDIN CSL_CITATION {"citationItems":[{"id":"ITEM-1","itemData":{"DOI":"10.1002/9781118445112.stat07878","ISBN":"9781118445112","abstract":"Abstract The deviance information criterion (DIC) was introduced in 2002 by Spiegelhalter et al. to compare the relative fit of a set of Bayesian hierarchical models. It is similar to Akaike's information criterion (AIC) in combining a measure of goodness-of-fit and measure of complexity, both based on the deviance. While AIC uses the maximum likelihood estimate, DIC's plug-in estimate is based on the posterior mean. As the number of independent parameters in a Bayesian hierarchical model is not clearly defined, DIC estimates the effective number of parameters by the difference of the posterior mean of the deviance and the deviance at the posterior mean. This coincides with the number of independent parameters in fixed effect models with flat priors, thus the DIC is a generalization of AIC. It can be justified as an estimate of the posterior predictive model performance within a decision-theoretic framework and it is asymptotically equivalent to leave-one-out cross-validation. The DIC has been used extensively for practical model comparison in many disciplines and works well for exponential family models but due to its dependence on the parametrization and focus of a model, its application to mixture models is problematic.","author":[{"dropping-particle":"","family":"Meyer","given":"Renate","non-dropping-particle":"","parse-names":false,"suffix":""}],"container-title":"Wiley StatsRef: Statistics Reference Online","id":"ITEM-1","issue":"DIC","issued":{"date-parts":[["2016"]]},"page":"1-6","title":" Deviance Information Criterion ( DIC ) ","type":"article-journal"},"uris":["http://www.mendeley.com/documents/?uuid=568ace6b-177f-4e8f-9279-a14f8d0f0cfc"]}],"mendeley":{"formattedCitation":"(Meyer 2016)","plainTextFormattedCitation":"(Meyer 2016)","previouslyFormattedCitation":"(Meyer 2016)"},"properties":{"noteIndex":0},"schema":"https://github.com/citation-style-language/schema/raw/master/csl-citation.json"}</w:instrText>
      </w:r>
      <w:r>
        <w:rPr>
          <w:rFonts w:cstheme="minorHAnsi"/>
          <w:lang w:val="en-GB"/>
        </w:rPr>
        <w:fldChar w:fldCharType="separate"/>
      </w:r>
      <w:r w:rsidR="00022ECD" w:rsidRPr="00022ECD">
        <w:rPr>
          <w:rFonts w:cstheme="minorHAnsi"/>
          <w:noProof/>
          <w:lang w:val="en-GB"/>
        </w:rPr>
        <w:t>(Meyer 2016)</w:t>
      </w:r>
      <w:r>
        <w:rPr>
          <w:rFonts w:cstheme="minorHAnsi"/>
          <w:lang w:val="en-GB"/>
        </w:rPr>
        <w:fldChar w:fldCharType="end"/>
      </w:r>
      <w:r>
        <w:rPr>
          <w:rFonts w:cstheme="minorHAnsi"/>
          <w:lang w:val="en-GB"/>
        </w:rPr>
        <w:t xml:space="preserve">. Models were run with single predictor for intrinsic behavioural traits (arousal, exploration and risk-avoidance) as well as in a global model with all behavioural predictors included. The two approaches yield qualitatively similar results, therefore we presented here only the outcome of the global model. while the outcome of the single behaviour-predictor models are presented in Supplementary Materials, Table S1, Table S2, Fig. S4). Models were fitted using the R package </w:t>
      </w:r>
      <w:r>
        <w:rPr>
          <w:rFonts w:cstheme="minorHAnsi"/>
          <w:i/>
          <w:lang w:val="en-GB"/>
        </w:rPr>
        <w:t>MCMCglmm</w:t>
      </w:r>
      <w:r>
        <w:rPr>
          <w:rFonts w:cstheme="minorHAnsi"/>
          <w:lang w:val="en-GB"/>
        </w:rPr>
        <w:t xml:space="preserve"> </w:t>
      </w:r>
      <w:r>
        <w:rPr>
          <w:rFonts w:cstheme="minorHAnsi"/>
          <w:lang w:val="en-GB"/>
        </w:rPr>
        <w:fldChar w:fldCharType="begin" w:fldLock="1"/>
      </w:r>
      <w:r w:rsidR="00022ECD">
        <w:rPr>
          <w:rFonts w:cstheme="minorHAnsi"/>
          <w:lang w:val="en-GB"/>
        </w:rPr>
        <w:instrText>ADDIN CSL_CITATION {"citationItems":[{"id":"ITEM-1","itemData":{"ISBN":"9781439811870","ISSN":"19390068","PMID":"18291371","abstract":"Generalized linear mixed models provide a flexible framework for modeling a range of data, although with non-Gaussian response variables the likelihood cannot be obtained in closed form. Markov chain Monte Carlo methods solve this problem by sampling from a series of simpler conditional distributions that can be evaluated. The R package MCMCglmm implements such an algorithm for a range of model fitting problems. More than one response variable can be analyzed simultaneously, and these variables are allowed to follow Gaussian, Poisson, multi(bi)nominal, exponential, zero-inflated and censored dis-tributions. A range of variance structures are permitted for the random effects, including interactions with categorical or continuous variables (i.e., random regression), and more complicated variance structures that arise through shared ancestry, either through a pedi-gree or through a phylogeny. Missing values are permitted in the response variable(s) and data can be known up to some level of measurement error as in meta-analysis. All simu-lation is done in C/ C++ using the CSparse library for sparse linear systems.","author":[{"dropping-particle":"","family":"Hadfield","given":"Jarrod D","non-dropping-particle":"","parse-names":false,"suffix":""}],"container-title":"Journal of Statistical Software","id":"ITEM-1","issue":"2","issued":{"date-parts":[["2010"]]},"page":"1-22","title":"MCMCglmm: MCMC Methods for Multi-Response GLMMs in R","type":"article-journal","volume":"33"},"uris":["http://www.mendeley.com/documents/?uuid=70b4d5b2-e2f7-4703-8661-918009476b2c"]}],"mendeley":{"formattedCitation":"(Hadfield 2010)","plainTextFormattedCitation":"(Hadfield 2010)","previouslyFormattedCitation":"(Hadfield 2010)"},"properties":{"noteIndex":0},"schema":"https://github.com/citation-style-language/schema/raw/master/csl-citation.json"}</w:instrText>
      </w:r>
      <w:r>
        <w:rPr>
          <w:rFonts w:cstheme="minorHAnsi"/>
          <w:lang w:val="en-GB"/>
        </w:rPr>
        <w:fldChar w:fldCharType="separate"/>
      </w:r>
      <w:r w:rsidR="00022ECD" w:rsidRPr="00022ECD">
        <w:rPr>
          <w:rFonts w:cstheme="minorHAnsi"/>
          <w:noProof/>
          <w:lang w:val="en-GB"/>
        </w:rPr>
        <w:t>(Hadfield 2010)</w:t>
      </w:r>
      <w:r>
        <w:rPr>
          <w:rFonts w:cstheme="minorHAnsi"/>
          <w:lang w:val="en-GB"/>
        </w:rPr>
        <w:fldChar w:fldCharType="end"/>
      </w:r>
      <w:r>
        <w:rPr>
          <w:rFonts w:cstheme="minorHAnsi"/>
          <w:lang w:val="en-GB"/>
        </w:rPr>
        <w:t>.</w:t>
      </w:r>
    </w:p>
    <w:p w:rsidR="005939CD" w:rsidRDefault="005939CD">
      <w:pPr>
        <w:spacing w:line="480" w:lineRule="auto"/>
        <w:jc w:val="both"/>
        <w:rPr>
          <w:rFonts w:cstheme="minorHAnsi"/>
          <w:lang w:val="en-GB"/>
        </w:rPr>
      </w:pPr>
    </w:p>
    <w:p w:rsidR="005939CD" w:rsidRDefault="00C24910">
      <w:pPr>
        <w:spacing w:line="480" w:lineRule="auto"/>
        <w:jc w:val="both"/>
        <w:rPr>
          <w:rFonts w:cstheme="minorHAnsi"/>
          <w:lang w:val="en-GB"/>
        </w:rPr>
      </w:pPr>
      <w:r>
        <w:rPr>
          <w:rFonts w:cstheme="minorHAnsi"/>
          <w:b/>
          <w:lang w:val="en-GB"/>
        </w:rPr>
        <w:t>Ethical note</w:t>
      </w:r>
      <w:r>
        <w:rPr>
          <w:rFonts w:cstheme="minorHAnsi"/>
          <w:lang w:val="en-GB"/>
        </w:rPr>
        <w:t xml:space="preserve"> </w:t>
      </w:r>
    </w:p>
    <w:p w:rsidR="005939CD" w:rsidRDefault="00C24910">
      <w:pPr>
        <w:spacing w:line="480" w:lineRule="auto"/>
        <w:jc w:val="both"/>
        <w:rPr>
          <w:rFonts w:cstheme="minorHAnsi"/>
          <w:lang w:val="en-GB"/>
        </w:rPr>
      </w:pPr>
      <w:r>
        <w:rPr>
          <w:rFonts w:cstheme="minorHAnsi"/>
          <w:lang w:val="en-GB"/>
        </w:rPr>
        <w:t>All activities (birds marking, feeding, and video recording/observations) were performed with the greatest care. The capturing and marking procedure did not have apparent effect on birds survival, as all the individuals where observed in the lek and/or at the feeders area after the capturing. The foam with with the birds were marked was of negligible weight (0.02 g, which constitutes ~0.3% of average  body mass (6g) of LBH). The study was reviewed and authorized by the Costa Rican Ministerio del Ambiente y Energia (063-2011-SINAC), and performed in accordance with their guidelines and regulations.</w:t>
      </w:r>
    </w:p>
    <w:p w:rsidR="005939CD" w:rsidRDefault="005939CD">
      <w:pPr>
        <w:spacing w:line="480" w:lineRule="auto"/>
        <w:jc w:val="both"/>
        <w:rPr>
          <w:rFonts w:cstheme="minorHAnsi"/>
          <w:lang w:val="en-GB"/>
        </w:rPr>
      </w:pPr>
    </w:p>
    <w:p w:rsidR="005939CD" w:rsidRDefault="00C24910">
      <w:pPr>
        <w:spacing w:line="480" w:lineRule="auto"/>
        <w:jc w:val="both"/>
        <w:rPr>
          <w:rFonts w:cstheme="minorHAnsi"/>
          <w:b/>
          <w:lang w:val="en-GB"/>
        </w:rPr>
      </w:pPr>
      <w:r>
        <w:rPr>
          <w:rFonts w:cstheme="minorHAnsi"/>
          <w:b/>
          <w:lang w:val="en-GB"/>
        </w:rPr>
        <w:t>Results</w:t>
      </w:r>
    </w:p>
    <w:p w:rsidR="005939CD" w:rsidRDefault="00C24910">
      <w:pPr>
        <w:spacing w:line="480" w:lineRule="auto"/>
        <w:jc w:val="both"/>
        <w:rPr>
          <w:rFonts w:cstheme="minorHAnsi"/>
          <w:lang w:val="en-GB"/>
        </w:rPr>
      </w:pPr>
      <w:r>
        <w:rPr>
          <w:rFonts w:cstheme="minorHAnsi"/>
          <w:lang w:val="en-GB"/>
        </w:rPr>
        <w:t>Repeatability</w:t>
      </w:r>
      <w:r>
        <w:rPr>
          <w:rFonts w:cstheme="minorHAnsi"/>
          <w:b/>
          <w:lang w:val="en-GB"/>
        </w:rPr>
        <w:t xml:space="preserve"> </w:t>
      </w:r>
      <w:r>
        <w:rPr>
          <w:rFonts w:cstheme="minorHAnsi"/>
          <w:lang w:val="en-GB"/>
        </w:rPr>
        <w:t>of all the parameters was moderate but significant for all the parameters except for arousal (Fig. 2). When predicting foraging efficiency, the model including all intrinsic behavioural traits and their interaction with the risk predation context performed significantly better than a simpler model including only threat context (Table 1). All parameters and their interaction were significant in this model except for risk-avoidance (Table 2). Overall, foraging efficiency was lowered in the higher threat context (Fig. 3) but was also affected by the birds’ exploratory behaviour and arousal. Importantly, the effect of behavioural parameters on the foraging efficiency was context dependent (Table 2). The most dramatic effect was found in exploratory behaviour, which was positively related to foraging efficiency in low threat context but the opposite pattern was observed in the higher threat context (Fig. 4). Arousal was positively related to foraging efficiency and this was particularly pronounced when birds faced higher threat (Fig. 4). Risk avoidance tended to lower foraging efficiency and did not differ between threat levels (Fig. 4).</w:t>
      </w:r>
    </w:p>
    <w:p w:rsidR="005939CD" w:rsidRDefault="005939CD">
      <w:pPr>
        <w:spacing w:before="240" w:after="0" w:line="480" w:lineRule="auto"/>
        <w:jc w:val="both"/>
        <w:rPr>
          <w:rFonts w:cstheme="minorHAnsi"/>
          <w:b/>
          <w:lang w:val="en-GB"/>
        </w:rPr>
      </w:pPr>
    </w:p>
    <w:p w:rsidR="005939CD" w:rsidRDefault="00C24910">
      <w:pPr>
        <w:spacing w:line="480" w:lineRule="auto"/>
        <w:jc w:val="both"/>
        <w:rPr>
          <w:rFonts w:cstheme="minorHAnsi"/>
          <w:b/>
          <w:lang w:val="en-GB"/>
        </w:rPr>
      </w:pPr>
      <w:r>
        <w:rPr>
          <w:rFonts w:cstheme="minorHAnsi"/>
          <w:b/>
          <w:lang w:val="en-GB"/>
        </w:rPr>
        <w:lastRenderedPageBreak/>
        <w:t>Discussion</w:t>
      </w:r>
    </w:p>
    <w:p w:rsidR="005939CD" w:rsidRDefault="00C24910">
      <w:pPr>
        <w:spacing w:before="240" w:line="480" w:lineRule="auto"/>
        <w:jc w:val="both"/>
        <w:rPr>
          <w:rFonts w:cstheme="minorHAnsi"/>
          <w:lang w:val="en-GB"/>
        </w:rPr>
      </w:pPr>
      <w:r>
        <w:rPr>
          <w:rFonts w:cstheme="minorHAnsi"/>
          <w:lang w:val="en-GB"/>
        </w:rPr>
        <w:t>As we could expect under the risk allocation hypothesis (Lima and Bednekoff 1999) foraging efficiency of long-billed hermits decreased in response to threatening conditions. However, behavioural performance in regard to exploration, risk-avoidance and arousal additionally affected the foraging efficiency, interestingly, in a condition-dependent manner. These results suggest that a range of strategies instead of a single fixed strategy should be considered, when modelling foraging behaviour in a threatening context. The results also highlight the importance of behavioural variability in shaping evolution of foraging strategy.</w:t>
      </w:r>
    </w:p>
    <w:p w:rsidR="005939CD" w:rsidRDefault="00C24910">
      <w:pPr>
        <w:spacing w:before="240" w:line="480" w:lineRule="auto"/>
        <w:jc w:val="both"/>
        <w:rPr>
          <w:rFonts w:cstheme="minorHAnsi"/>
          <w:lang w:val="en-GB"/>
        </w:rPr>
      </w:pPr>
      <w:r>
        <w:rPr>
          <w:rFonts w:cstheme="minorHAnsi"/>
          <w:lang w:val="en-GB"/>
        </w:rPr>
        <w:t xml:space="preserve">Despite not being a specific prey target, hummingbirds may be opportunistically hunted by a wide range of predators (e.g. </w:t>
      </w:r>
      <w:r>
        <w:rPr>
          <w:rFonts w:cstheme="minorHAnsi"/>
          <w:lang w:val="en-GB"/>
        </w:rPr>
        <w:fldChar w:fldCharType="begin" w:fldLock="1"/>
      </w:r>
      <w:r w:rsidR="00022ECD">
        <w:rPr>
          <w:rFonts w:cstheme="minorHAnsi"/>
          <w:lang w:val="en-GB"/>
        </w:rPr>
        <w:instrText>ADDIN CSL_CITATION {"citationItems":[{"id":"ITEM-1","itemData":{"DOI":"10.1676/16-100.1","ISSN":"1559-4491","abstract":"We review 147 incidents of the capture of small birds by mantids (order Mantodea, family Mantidae). This has been documented in 13 different countries, on all continents except Antarctica.We found records of predation on birds by 12 mantid species (in the genera Coptopteryx, Hierodula, Mantis, Miomantis, Polyspilota, Sphodromantis, Stagmatoptera, Stagmomantis, and Tenodera). Small birds in the orders Apodiformes and Passeriformes, representing 24 identified species from 14 families (Acanthizidae, Acrocephalidae, Certhiidae, Estrildidae, Maluridae, Meliphagidae, Muscicapidae, Nectariniidae, Parulidae, Phylloscopidae, Scotocercidae, Trochilidae, Tyrannidae, and Vireonidae), were found as prey. Most reports (.70%of observed incidents) are from the USA, where mantids have often been seen capturing hummingbirds attracted to food sources in gardens, i.e., hummingbird feeders or hummingbird-pollinated plants. The Ruby-throated Hummingbird (Archilochus colubris) was the species most frequently reported to be captured by mantids. Captures were reported also from Canada, Central America, and South America. In Africa, Asia, Australia, and Europe, we found 29 records of small passerine birds captured by mantids. Of the birds captured, 78% were killed and eaten by the mantids, 2% succeeded in escaping on their own, and 18%were freed by humans. In North America, native and non-native mantids were engaged in bird predation. Our compilation suggests that praying mantises frequently prey on hummingbirds in gardens in North America; therefore, we suggest caution in use of large-sized mantids, particularly non-native mantids, in gardens for insect pest control","author":[{"dropping-particle":"","family":"Nyffeler","given":"Martin","non-dropping-particle":"","parse-names":false,"suffix":""},{"dropping-particle":"","family":"Maxwell","given":"Michael R.","non-dropping-particle":"","parse-names":false,"suffix":""},{"dropping-particle":"V.","family":"Remsen","given":"J.","non-dropping-particle":"","parse-names":false,"suffix":""}],"container-title":"The Wilson Journal of Ornithology","id":"ITEM-1","issue":"2","issued":{"date-parts":[["2017"]]},"page":"331-344","title":"Bird predation by praying mantises: a global perspective","type":"article-journal","volume":"129"},"uris":["http://www.mendeley.com/documents/?uuid=f31dd739-1894-4e86-9e0f-98f8f33dcb4a"]},{"id":"ITEM-2","itemData":{"DOI":"10.1676/05-062.1","ISSN":"1559-4491","abstract":"A tailless whipscorpion (Phrynus longipes) was observed feeding on an Antillean Crested Hummingbird (Orthorhyncus cristatus) atop a large boulder on the island of Virgin Gorda in the British Virgin Islands. This is the first record of any avian species serving as prey for an Amblypygid.","author":[{"dropping-particle":"","family":"Owen","given":"Jennifer L.","non-dropping-particle":"","parse-names":false,"suffix":""},{"dropping-particle":"","family":"Cokendolpher","given":"James C.","non-dropping-particle":"","parse-names":false,"suffix":""}],"container-title":"The Wilson Journal of Ornithology","id":"ITEM-2","issue":"3","issued":{"date-parts":[["2006"]]},"page":"422-423","title":"Tailless Whipscorpion (Phrynus longipes) feeds on Antillean crested hummingbird (Orthorhyncus cristatus)","type":"article-journal","volume":"118"},"uris":["http://www.mendeley.com/documents/?uuid=b9a0bf12-9b3a-41c6-80fa-dde9a940a905"]},{"id":"ITEM-3","itemData":{"ISSN":"01035657","abstract":"Pygmy owls of the genus Glaucidium prey on large insect and small vertebrates, mostly birds. Among the birds preyed on by pygmy owls are hummingbirds, caught mostly while mobbing these owlets or when still at nestling stage. I report here on the Ferruginous Pygmy Owl (Glaucidium brasilianum) snatching flower-visiting hummingbirds in an orchard at a farm in southwestern Brazil. I recorded one White-tailed Goldenthroat (Polytmus guainumbi) and three Gilded Hummingbirds (Hylocharis chrysura) preyed on by this owlet on three consecutive days. The large concentration of flowers and, consequently, of hummingbirds in the orchard likely contributed to the hunting success of the owlet on such fleeting and quickly moving prey. The role this pygmy owl plays on predation of adult hummingbirds in the Neotropics merits closer consideration.","author":[{"dropping-particle":"","family":"Sazima","given":"Ivan","non-dropping-particle":"","parse-names":false,"suffix":""}],"container-title":"Revista Brasileira de Ornitologia","id":"ITEM-3","issue":"1","issued":{"date-parts":[["2015"]]},"page":"12-14","title":"Lightning predator: the ferruginous pygmy owl snatches flower-visiting hummingbirds in southwestern Brazil","type":"article-journal","volume":"23"},"uris":["http://www.mendeley.com/documents/?uuid=6dc13d7a-2b82-4a81-9938-210a575aadc8"]},{"id":"ITEM-4","itemData":{"DOI":"10.1656/058.012.0416","ISSN":"1528-7092","abstract":"Predation is not thought to contribute significantly to adult hummingbird mortality in temperate areas, where most reported cases of mortality are the result of accidents (e.g., window collisions and spider webs). However, the hazards encountered during migration, including the threat of prédation, can impact hummingbirds while on stopover. We present one account of préda- tion upon Archilochus colubris (Ruby-throated Hummingbird) by Accipiter striatus (Sharp-shinned Hawk) and one account of a Ruby-throated Hummingbird displaying anti-predator behavior by mobbing a Falco sparverius (American Kestrel). All observations took place in coastal Alabama during stopover in autumn.","author":[{"dropping-particle":"","family":"Zenzal","given":"Theodore J.","non-dropping-particle":"","parse-names":false,"suffix":""},{"dropping-particle":"","family":"Fish","given":"Alexander C.","non-dropping-particle":"","parse-names":false,"suffix":""},{"dropping-particle":"","family":"Jones","given":"Todd M.","non-dropping-particle":"","parse-names":false,"suffix":""},{"dropping-particle":"","family":"Ospina","given":"Emilie A.","non-dropping-particle":"","parse-names":false,"suffix":""},{"dropping-particle":"","family":"Moore","given":"Frank R.","non-dropping-particle":"","parse-names":false,"suffix":""}],"container-title":"Southeastern Naturalist","id":"ITEM-4","issue":"4","issued":{"date-parts":[["2013"]]},"page":"N21-N25","title":"Observations of Predation and Anti-Predator Behavior of Rubythroated Hummingbirds During Migratory Stopover","type":"article-journal","volume":"12"},"uris":["http://www.mendeley.com/documents/?uuid=f8bfc975-3786-4095-8c27-34e42169325b"]},{"id":"ITEM-5","itemData":{"author":[{"dropping-particle":"","family":"Lorenz","given":"Stephan","non-dropping-particle":"","parse-names":false,"suffix":""}],"container-title":"Bulletin of the Texas Ornithological Society","id":"ITEM-5","issue":"1","issued":{"date-parts":[["2007"]]},"page":"1-40","title":"Carolina mantind (Stagmomantis carolica) captures and feeds on a broad-tailed hummingbird (Selasphorus platycercus)","type":"article-journal","volume":"40"},"uris":["http://www.mendeley.com/documents/?uuid=9f24957e-c9b4-4d62-be5c-26937ea87fdc"]}],"mendeley":{"formattedCitation":"(Owen and Cokendolpher 2006; Lorenz 2007; Zenzal et al. 2013; Sazima 2015; Nyffeler et al. 2017)","manualFormatting":"Owen and Cokendolpher 2006; Lorenz 2007; Zenzal et al. 2013; Sazima 2015; Nyffeler et al. 2017)","plainTextFormattedCitation":"(Owen and Cokendolpher 2006; Lorenz 2007; Zenzal et al. 2013; Sazima 2015; Nyffeler et al. 2017)","previouslyFormattedCitation":"(Owen and Cokendolpher 2006; Lorenz 2007; Zenzal et al. 2013; Sazima 2015; Nyffeler et al. 2017)"},"properties":{"noteIndex":0},"schema":"https://github.com/citation-style-language/schema/raw/master/csl-citation.json"}</w:instrText>
      </w:r>
      <w:r>
        <w:rPr>
          <w:rFonts w:cstheme="minorHAnsi"/>
          <w:lang w:val="en-GB"/>
        </w:rPr>
        <w:fldChar w:fldCharType="separate"/>
      </w:r>
      <w:r>
        <w:rPr>
          <w:rFonts w:cstheme="minorHAnsi"/>
          <w:noProof/>
          <w:lang w:val="en-GB"/>
        </w:rPr>
        <w:t>Owen and Cokendolpher 2006; Lorenz 2007; Zenzal et al. 2013; Sazima 2015; Nyffeler et al. 2017)</w:t>
      </w:r>
      <w:r>
        <w:rPr>
          <w:rFonts w:cstheme="minorHAnsi"/>
          <w:lang w:val="en-GB"/>
        </w:rPr>
        <w:fldChar w:fldCharType="end"/>
      </w:r>
      <w:r>
        <w:rPr>
          <w:rFonts w:cstheme="minorHAnsi"/>
          <w:lang w:val="en-GB"/>
        </w:rPr>
        <w:t xml:space="preserve">. That imposes a considerable predation risk and favours evolution of risk-avoidance behaviour. Indeed, we found that experimental exposure of an ant, potentially representing just a threat of being bitten (but not eaten), was enough for LBHs to exhibit higher risk-avoidance (longer latency to start to forage) and lower movement activity compared to the control conditions. Importantly, despite of the threat, birds did forage although with a lower efficiency. This places LBHs in a group of species representing so call paradox of risk-allocation hypothesis - in conditions of a frequent predator presence, prey might need to forage actively even though a threat (either potential or real predator) is present </w:t>
      </w:r>
      <w:r>
        <w:rPr>
          <w:rFonts w:cstheme="minorHAnsi"/>
          <w:lang w:val="en-GB"/>
        </w:rPr>
        <w:fldChar w:fldCharType="begin" w:fldLock="1"/>
      </w:r>
      <w:r w:rsidR="00022ECD">
        <w:rPr>
          <w:rFonts w:cstheme="minorHAnsi"/>
          <w:lang w:val="en-GB"/>
        </w:rPr>
        <w: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hypothesis","type":"article-journal","volume":"153"},"uris":["http://www.mendeley.com/documents/?uuid=fdff2887-ada9-40bb-a7d8-1b0d216ae37c"]},{"id":"ITEM-2","itemData":{"DOI":"10.1016/j.anbehav.2009.05.034","ISSN":"00033472","abstract":"Predation is one of the most important selection pressures acting on prey behaviour. While numerous studies have shown that when predation risk is high, prey tend to increase vigilance and reduce foraging effort, until recently, few studies have looked at how the temporal pattern of risk influences antipredator behaviour. The risk allocation hypothesis predicts that as predation risk fluctuates over time (e.g. as predators come and go), the intensity of prey vigilance and foraging should depend on both the level of risk and the proportion of time that predators are present. If predators are usually absent, prey can meet their energy demands during safe periods, and thus respond strongly during the rare times when predators are present. In contrast, if predators are almost always present, prey might need to forage actively even though predators are present, a counterintuitive prediction for many behavioural ecologists. In this review, we present and highlight the paradoxical nature of the risk allocation model. We then review studies that empirically tested the model. These studies provide only mixed support for the model. Importantly, we identify factors that help to explain why some studies supported the model and others did not. In particular, we find that studies that gave prey more time to assess and learn the risk regime had a higher probability of yielding results that supported the model. Finally, we suggest extensions of the model framework to incorporate broader and more complex ecological contexts. © 2009 The Association for the Study of Animal Behaviour.","author":[{"dropping-particle":"","family":"Ferrari","given":"Maud C.O.","non-dropping-particle":"","parse-names":false,"suffix":""},{"dropping-particle":"","family":"Sih","given":"Andrew","non-dropping-particle":"","parse-names":false,"suffix":""},{"dropping-particle":"","family":"Chivers","given":"Douglas P.","non-dropping-particle":"","parse-names":false,"suffix":""}],"container-title":"Animal Behaviour","id":"ITEM-2","issue":"3","issued":{"date-parts":[["2009"]]},"page":"579-585","publisher":"Elsevier Ltd","title":"The paradox of risk allocation: a review and prospectus","type":"article-journal","volume":"78"},"uris":["http://www.mendeley.com/documents/?uuid=cb3549f2-cfad-4f5e-81df-569be2b2ae6c"]}],"mendeley":{"formattedCitation":"(Lima and Bednekoff 1999; Ferrari et al. 2009)","plainTextFormattedCitation":"(Lima and Bednekoff 1999; Ferrari et al. 2009)","previouslyFormattedCitation":"(Lima and Bednekoff 1999; Ferrari et al. 2009)"},"properties":{"noteIndex":0},"schema":"https://github.com/citation-style-language/schema/raw/master/csl-citation.json"}</w:instrText>
      </w:r>
      <w:r>
        <w:rPr>
          <w:rFonts w:cstheme="minorHAnsi"/>
          <w:lang w:val="en-GB"/>
        </w:rPr>
        <w:fldChar w:fldCharType="separate"/>
      </w:r>
      <w:r w:rsidR="00022ECD" w:rsidRPr="00022ECD">
        <w:rPr>
          <w:rFonts w:cstheme="minorHAnsi"/>
          <w:noProof/>
          <w:lang w:val="en-GB"/>
        </w:rPr>
        <w:t>(Lima and Bednekoff 1999; Ferrari et al. 2009)</w:t>
      </w:r>
      <w:r>
        <w:rPr>
          <w:rFonts w:cstheme="minorHAnsi"/>
          <w:lang w:val="en-GB"/>
        </w:rPr>
        <w:fldChar w:fldCharType="end"/>
      </w:r>
      <w:r>
        <w:rPr>
          <w:rFonts w:cstheme="minorHAnsi"/>
          <w:lang w:val="en-GB"/>
        </w:rPr>
        <w:t xml:space="preserve">. It is worth to evoke in that context one of assumptions of the risk allocation hypothesis, which is ‘living on the edge’ in terms of meeting energy demands </w:t>
      </w:r>
      <w:r>
        <w:rPr>
          <w:rFonts w:cstheme="minorHAnsi"/>
          <w:lang w:val="en-GB"/>
        </w:rPr>
        <w:fldChar w:fldCharType="begin" w:fldLock="1"/>
      </w:r>
      <w:r w:rsidR="00022ECD">
        <w:rPr>
          <w:rFonts w:cstheme="minorHAnsi"/>
          <w:lang w:val="en-GB"/>
        </w:rPr>
        <w: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hypothesis","type":"article-journal","volume":"153"},"uris":["http://www.mendeley.com/documents/?uuid=fdff2887-ada9-40bb-a7d8-1b0d216ae37c"]},{"id":"ITEM-2","itemData":{"DOI":"10.1007/s00265-006-0172-6","ISSN":"03405443","abstract":"Although there is ample evidence for the generality of foraging and predation trade-offs in aquatic systems, its application to terrestrial systems is less comprehensive. In this review, meta-analysis was used to analyze experiments on giving-up-densities in terrestrial systems to evaluate the overall magnitude of predation risk on foraging behavior and experimental conditions mediating its effect. Results indicate a large and significant decrease in foraging effort as a consequence of increased predation risk. Whether experiments were conducted under natural or artificial conditions produced no change in the overall effect predation had on foraging. Odor and live predators as a correlate of predation risk had weaker and nonsignificant effects compared to habitat characteristics. The meta-analysis suggests that the effect of predation risk on foraging behavior in terrestrial systems is strongly dependent on the type of predation risk being utilized. © Springer-Verlag 2006.","author":[{"dropping-particle":"","family":"Verdolin","given":"Jennifer L.","non-dropping-particle":"","parse-names":false,"suffix":""}],"container-title":"Behavioral Ecology and Sociobiology","id":"ITEM-2","issue":"4","issued":{"date-parts":[["2006"]]},"page":"457-464","title":"Meta-analysis of foraging and predation risk trade-offs in terrestrial systems","type":"article-journal","volume":"60"},"uris":["http://www.mendeley.com/documents/?uuid=c75bd29f-159b-4fbe-9876-8fb93baaad09"]}],"mendeley":{"formattedCitation":"(Lima and Bednekoff 1999; Verdolin 2006)","plainTextFormattedCitation":"(Lima and Bednekoff 1999; Verdolin 2006)","previouslyFormattedCitation":"(Lima and Bednekoff 1999; Verdolin 2006)"},"properties":{"noteIndex":0},"schema":"https://github.com/citation-style-language/schema/raw/master/csl-citation.json"}</w:instrText>
      </w:r>
      <w:r>
        <w:rPr>
          <w:rFonts w:cstheme="minorHAnsi"/>
          <w:lang w:val="en-GB"/>
        </w:rPr>
        <w:fldChar w:fldCharType="separate"/>
      </w:r>
      <w:r w:rsidR="00022ECD" w:rsidRPr="00022ECD">
        <w:rPr>
          <w:rFonts w:cstheme="minorHAnsi"/>
          <w:noProof/>
          <w:lang w:val="en-GB"/>
        </w:rPr>
        <w:t>(Lima and Bednekoff 1999; Verdolin 2006)</w:t>
      </w:r>
      <w:r>
        <w:rPr>
          <w:rFonts w:cstheme="minorHAnsi"/>
          <w:lang w:val="en-GB"/>
        </w:rPr>
        <w:fldChar w:fldCharType="end"/>
      </w:r>
      <w:r>
        <w:rPr>
          <w:rFonts w:cstheme="minorHAnsi"/>
          <w:lang w:val="en-GB"/>
        </w:rPr>
        <w:t>. This assumption seems to be rarely met in most of animal species used to test the hypothesis so far (</w:t>
      </w:r>
      <w:r>
        <w:rPr>
          <w:rFonts w:cstheme="minorHAnsi"/>
          <w:lang w:val="en-GB"/>
        </w:rPr>
        <w:fldChar w:fldCharType="begin" w:fldLock="1"/>
      </w:r>
      <w:r w:rsidR="00022ECD">
        <w:rPr>
          <w:rFonts w:cstheme="minorHAnsi"/>
          <w:lang w:val="en-GB"/>
        </w:rPr>
        <w:instrText>ADDIN CSL_CITATION {"citationItems":[{"id":"ITEM-1","itemData":{"DOI":"10.1016/j.anbehav.2009.05.034","ISSN":"00033472","abstract":"Predation is one of the most important selection pressures acting on prey behaviour. While numerous studies have shown that when predation risk is high, prey tend to increase vigilance and reduce foraging effort, until recently, few studies have looked at how the temporal pattern of risk influences antipredator behaviour. The risk allocation hypothesis predicts that as predation risk fluctuates over time (e.g. as predators come and go), the intensity of prey vigilance and foraging should depend on both the level of risk and the proportion of time that predators are present. If predators are usually absent, prey can meet their energy demands during safe periods, and thus respond strongly during the rare times when predators are present. In contrast, if predators are almost always present, prey might need to forage actively even though predators are present, a counterintuitive prediction for many behavioural ecologists. In this review, we present and highlight the paradoxical nature of the risk allocation model. We then review studies that empirically tested the model. These studies provide only mixed support for the model. Importantly, we identify factors that help to explain why some studies supported the model and others did not. In particular, we find that studies that gave prey more time to assess and learn the risk regime had a higher probability of yielding results that supported the model. Finally, we suggest extensions of the model framework to incorporate broader and more complex ecological contexts. © 2009 The Association for the Study of Animal Behaviour.","author":[{"dropping-particle":"","family":"Ferrari","given":"Maud C.O.","non-dropping-particle":"","parse-names":false,"suffix":""},{"dropping-particle":"","family":"Sih","given":"Andrew","non-dropping-particle":"","parse-names":false,"suffix":""},{"dropping-particle":"","family":"Chivers","given":"Douglas P.","non-dropping-particle":"","parse-names":false,"suffix":""}],"container-title":"Animal Behaviour","id":"ITEM-1","issue":"3","issued":{"date-parts":[["2009"]]},"page":"579-585","publisher":"Elsevier Ltd","title":"The paradox of risk allocation: a review and prospectus","type":"article-journal","volume":"78"},"uris":["http://www.mendeley.com/documents/?uuid=cb3549f2-cfad-4f5e-81df-569be2b2ae6c"]}],"mendeley":{"formattedCitation":"(Ferrari et al. 2009)","plainTextFormattedCitation":"(Ferrari et al. 2009)","previouslyFormattedCitation":"(Ferrari et al. 2009)"},"properties":{"noteIndex":0},"schema":"https://github.com/citation-style-language/schema/raw/master/csl-citation.json"}</w:instrText>
      </w:r>
      <w:r>
        <w:rPr>
          <w:rFonts w:cstheme="minorHAnsi"/>
          <w:lang w:val="en-GB"/>
        </w:rPr>
        <w:fldChar w:fldCharType="separate"/>
      </w:r>
      <w:r w:rsidR="00022ECD" w:rsidRPr="00022ECD">
        <w:rPr>
          <w:rFonts w:cstheme="minorHAnsi"/>
          <w:noProof/>
          <w:lang w:val="en-GB"/>
        </w:rPr>
        <w:t>(Ferrari et al. 2009)</w:t>
      </w:r>
      <w:r>
        <w:rPr>
          <w:rFonts w:cstheme="minorHAnsi"/>
          <w:lang w:val="en-GB"/>
        </w:rPr>
        <w:fldChar w:fldCharType="end"/>
      </w:r>
      <w:r>
        <w:rPr>
          <w:rFonts w:cstheme="minorHAnsi"/>
          <w:lang w:val="en-GB"/>
        </w:rPr>
        <w:t>). Hummingbirds, given their extreme metabolism rate, could be a rare example when the assumption is actually true.</w:t>
      </w:r>
    </w:p>
    <w:p w:rsidR="005939CD" w:rsidRDefault="00C24910">
      <w:pPr>
        <w:spacing w:before="240" w:line="480" w:lineRule="auto"/>
        <w:jc w:val="both"/>
        <w:rPr>
          <w:rFonts w:cstheme="minorHAnsi"/>
          <w:lang w:val="en-GB"/>
        </w:rPr>
      </w:pPr>
      <w:r>
        <w:rPr>
          <w:rFonts w:cstheme="minorHAnsi"/>
          <w:lang w:val="en-GB"/>
        </w:rPr>
        <w:t xml:space="preserve">The changes in LBHs behaviour in response to a threat, longer latency and lower arousal, are likely to be adaptive. A longer time spent at the foraging site before the feeding onset may allow an individual </w:t>
      </w:r>
      <w:r>
        <w:rPr>
          <w:rFonts w:cstheme="minorHAnsi"/>
          <w:lang w:val="en-GB"/>
        </w:rPr>
        <w:lastRenderedPageBreak/>
        <w:t xml:space="preserve">to thoroughly evaluate the risk-level and so to make adequate foraging decision. If a threat is not considered mortal, as it was likely the case in the present study, the individual initiates foraging despite being threaten, otherwise it might search for another food resource or postpone foraging event. Decreased activity (lower arousal) in the high-risk </w:t>
      </w:r>
      <w:r>
        <w:rPr>
          <w:rFonts w:cstheme="minorHAnsi"/>
          <w:lang w:val="en-US"/>
        </w:rPr>
        <w:t xml:space="preserve">condition </w:t>
      </w:r>
      <w:r>
        <w:rPr>
          <w:rFonts w:cstheme="minorHAnsi"/>
          <w:lang w:val="en-GB"/>
        </w:rPr>
        <w:t xml:space="preserve">may lower chances of being spotted and so hunted by a predator. Indeed, decreased movement activity is expected in the light of the risk allocation hypothesis </w:t>
      </w:r>
      <w:r>
        <w:rPr>
          <w:rFonts w:cstheme="minorHAnsi"/>
          <w:lang w:val="en-GB"/>
        </w:rPr>
        <w:fldChar w:fldCharType="begin" w:fldLock="1"/>
      </w:r>
      <w:r w:rsidR="00022ECD">
        <w:rPr>
          <w:rFonts w:cstheme="minorHAnsi"/>
          <w:lang w:val="en-GB"/>
        </w:rPr>
        <w: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hypothesis","type":"article-journal","volume":"153"},"uris":["http://www.mendeley.com/documents/?uuid=fdff2887-ada9-40bb-a7d8-1b0d216ae37c"]}],"mendeley":{"formattedCitation":"(Lima and Bednekoff 1999)","plainTextFormattedCitation":"(Lima and Bednekoff 1999)","previouslyFormattedCitation":"(Lima and Bednekoff 1999)"},"properties":{"noteIndex":0},"schema":"https://github.com/citation-style-language/schema/raw/master/csl-citation.json"}</w:instrText>
      </w:r>
      <w:r>
        <w:rPr>
          <w:rFonts w:cstheme="minorHAnsi"/>
          <w:lang w:val="en-GB"/>
        </w:rPr>
        <w:fldChar w:fldCharType="separate"/>
      </w:r>
      <w:r w:rsidR="00022ECD" w:rsidRPr="00022ECD">
        <w:rPr>
          <w:rFonts w:cstheme="minorHAnsi"/>
          <w:noProof/>
          <w:lang w:val="en-GB"/>
        </w:rPr>
        <w:t>(Lima and Bednekoff 1999)</w:t>
      </w:r>
      <w:r>
        <w:rPr>
          <w:rFonts w:cstheme="minorHAnsi"/>
          <w:lang w:val="en-GB"/>
        </w:rPr>
        <w:fldChar w:fldCharType="end"/>
      </w:r>
      <w:r>
        <w:rPr>
          <w:rFonts w:cstheme="minorHAnsi"/>
          <w:lang w:val="en-GB"/>
        </w:rPr>
        <w:t xml:space="preserve"> with some evidence supporting this prediction (e.g. </w:t>
      </w:r>
      <w:r>
        <w:rPr>
          <w:rFonts w:cstheme="minorHAnsi"/>
          <w:lang w:val="en-GB"/>
        </w:rPr>
        <w:fldChar w:fldCharType="begin" w:fldLock="1"/>
      </w:r>
      <w:r w:rsidR="00022ECD">
        <w:rPr>
          <w:rFonts w:cstheme="minorHAnsi"/>
          <w:lang w:val="en-GB"/>
        </w:rPr>
        <w:instrText>ADDIN CSL_CITATION {"citationItems":[{"id":"ITEM-1","itemData":{"DOI":"10.1006/anbe.2001.1921","ISSN":"00033472","abstract":"The risk allocation hypothesis predicts that prey responses to predation risk should depend on the temporal pattern of risk. In systems where activity is dangerous, predicted activity levels should be ranked as follows: activity during a pulse of safety&gt;activity during continual safety&gt;activity during continual risk&gt;activity during a pulse of risk. We conducted the first experimental test of the basic predictions of the risk allocation hypothesis by examining responses of freshwater physid snails, Physa gyrina, to chemical cues associated with predation on snails by predatory crayfish, Orconectes juvenilis. As predicted, the snails' pattern of activity, microhabitat use and response to risk depended on the temporal pattern of risk. Snails held in continual risk had very low activity levels, but showed an immediate, large increase in activity during a brief period of safety. In contrast, snails held in continual safety showed moderate levels of activity, but surprisingly, only a weak reduction in activity when exposed to a pulse of danger. Further studies are needed to identify general patterns for how temporal variation in risk influences antipredator behaviour. © 2002 The Association for the Study of Animal Behaviour.","author":[{"dropping-particle":"","family":"Sih","given":"Andrew","non-dropping-particle":"","parse-names":false,"suffix":""},{"dropping-particle":"","family":"McCarthy","given":"Thomas M.","non-dropping-particle":"","parse-names":false,"suffix":""}],"container-title":"Animal Behaviour","id":"ITEM-1","issue":"3","issued":{"date-parts":[["2002"]]},"page":"437-443","title":"Prey responses to pulses of risk and safety: Testing the risk allocation hypothesis","type":"article-journal","volume":"63"},"uris":["http://www.mendeley.com/documents/?uuid=a955d26c-fb54-474d-a482-2732636d893f"]}],"mendeley":{"formattedCitation":"(Sih and McCarthy 2002)","manualFormatting":"Sih and McCarthy 2002","plainTextFormattedCitation":"(Sih and McCarthy 2002)","previouslyFormattedCitation":"(Sih and McCarthy 2002)"},"properties":{"noteIndex":0},"schema":"https://github.com/citation-style-language/schema/raw/master/csl-citation.json"}</w:instrText>
      </w:r>
      <w:r>
        <w:rPr>
          <w:rFonts w:cstheme="minorHAnsi"/>
          <w:lang w:val="en-GB"/>
        </w:rPr>
        <w:fldChar w:fldCharType="separate"/>
      </w:r>
      <w:r>
        <w:rPr>
          <w:rFonts w:cstheme="minorHAnsi"/>
          <w:noProof/>
          <w:lang w:val="en-GB"/>
        </w:rPr>
        <w:t>Sih and McCarthy 2002</w:t>
      </w:r>
      <w:r>
        <w:rPr>
          <w:rFonts w:cstheme="minorHAnsi"/>
          <w:lang w:val="en-GB"/>
        </w:rPr>
        <w:fldChar w:fldCharType="end"/>
      </w:r>
      <w:r>
        <w:rPr>
          <w:rFonts w:cstheme="minorHAnsi"/>
          <w:lang w:val="en-GB"/>
        </w:rPr>
        <w:t xml:space="preserve">  but see other examples reviewed in </w:t>
      </w:r>
      <w:r>
        <w:rPr>
          <w:rFonts w:cstheme="minorHAnsi"/>
          <w:lang w:val="en-GB"/>
        </w:rPr>
        <w:fldChar w:fldCharType="begin" w:fldLock="1"/>
      </w:r>
      <w:r w:rsidR="00022ECD">
        <w:rPr>
          <w:rFonts w:cstheme="minorHAnsi"/>
          <w:lang w:val="en-GB"/>
        </w:rPr>
        <w:instrText>ADDIN CSL_CITATION {"citationItems":[{"id":"ITEM-1","itemData":{"DOI":"10.1016/j.anbehav.2009.05.034","ISSN":"00033472","abstract":"Predation is one of the most important selection pressures acting on prey behaviour. While numerous studies have shown that when predation risk is high, prey tend to increase vigilance and reduce foraging effort, until recently, few studies have looked at how the temporal pattern of risk influences antipredator behaviour. The risk allocation hypothesis predicts that as predation risk fluctuates over time (e.g. as predators come and go), the intensity of prey vigilance and foraging should depend on both the level of risk and the proportion of time that predators are present. If predators are usually absent, prey can meet their energy demands during safe periods, and thus respond strongly during the rare times when predators are present. In contrast, if predators are almost always present, prey might need to forage actively even though predators are present, a counterintuitive prediction for many behavioural ecologists. In this review, we present and highlight the paradoxical nature of the risk allocation model. We then review studies that empirically tested the model. These studies provide only mixed support for the model. Importantly, we identify factors that help to explain why some studies supported the model and others did not. In particular, we find that studies that gave prey more time to assess and learn the risk regime had a higher probability of yielding results that supported the model. Finally, we suggest extensions of the model framework to incorporate broader and more complex ecological contexts. © 2009 The Association for the Study of Animal Behaviour.","author":[{"dropping-particle":"","family":"Ferrari","given":"Maud C.O.","non-dropping-particle":"","parse-names":false,"suffix":""},{"dropping-particle":"","family":"Sih","given":"Andrew","non-dropping-particle":"","parse-names":false,"suffix":""},{"dropping-particle":"","family":"Chivers","given":"Douglas P.","non-dropping-particle":"","parse-names":false,"suffix":""}],"container-title":"Animal Behaviour","id":"ITEM-1","issue":"3","issued":{"date-parts":[["2009"]]},"page":"579-585","publisher":"Elsevier Ltd","title":"The paradox of risk allocation: a review and prospectus","type":"article-journal","volume":"78"},"uris":["http://www.mendeley.com/documents/?uuid=cb3549f2-cfad-4f5e-81df-569be2b2ae6c"]}],"mendeley":{"formattedCitation":"(Ferrari et al. 2009)","plainTextFormattedCitation":"(Ferrari et al. 2009)","previouslyFormattedCitation":"(Ferrari et al. 2009)"},"properties":{"noteIndex":0},"schema":"https://github.com/citation-style-language/schema/raw/master/csl-citation.json"}</w:instrText>
      </w:r>
      <w:r>
        <w:rPr>
          <w:rFonts w:cstheme="minorHAnsi"/>
          <w:lang w:val="en-GB"/>
        </w:rPr>
        <w:fldChar w:fldCharType="separate"/>
      </w:r>
      <w:r w:rsidR="00022ECD" w:rsidRPr="00022ECD">
        <w:rPr>
          <w:rFonts w:cstheme="minorHAnsi"/>
          <w:noProof/>
          <w:lang w:val="en-GB"/>
        </w:rPr>
        <w:t>(Ferrari et al. 2009)</w:t>
      </w:r>
      <w:r>
        <w:rPr>
          <w:rFonts w:cstheme="minorHAnsi"/>
          <w:lang w:val="en-GB"/>
        </w:rPr>
        <w:fldChar w:fldCharType="end"/>
      </w:r>
      <w:r>
        <w:rPr>
          <w:rFonts w:cstheme="minorHAnsi"/>
          <w:lang w:val="en-GB"/>
        </w:rPr>
        <w:t xml:space="preserve">. This prediction may not be fully applicable for the LBHs however, as here, the prey was in a full exposure to the threat (i.e. “already spotted by a predator”). An alternative explanation of the lowered arousal in the context of elevated risk could be a cognitive overload associated with the need to evaluate the risk situation, which could, in turn, affect locomotor activity. The exploratory behaviour was similar regardless of the circumstances, which may be surprising if to assume that less exploratory behaviour would be expected in threatening conditions for the same reasons as for the arousal </w:t>
      </w:r>
      <w:r>
        <w:rPr>
          <w:rFonts w:cstheme="minorHAnsi"/>
          <w:lang w:val="en-GB"/>
        </w:rPr>
        <w:fldChar w:fldCharType="begin" w:fldLock="1"/>
      </w:r>
      <w:r w:rsidR="00022ECD">
        <w:rPr>
          <w:rFonts w:cstheme="minorHAnsi"/>
          <w:lang w:val="en-GB"/>
        </w:rPr>
        <w:instrText>ADDIN CSL_CITATION {"citationItems":[{"id":"ITEM-1","itemData":{"DOI":"10.1016/j.anbehav.2009.05.034","ISSN":"00033472","abstract":"Predation is one of the most important selection pressures acting on prey behaviour. While numerous studies have shown that when predation risk is high, prey tend to increase vigilance and reduce foraging effort, until recently, few studies have looked at how the temporal pattern of risk influences antipredator behaviour. The risk allocation hypothesis predicts that as predation risk fluctuates over time (e.g. as predators come and go), the intensity of prey vigilance and foraging should depend on both the level of risk and the proportion of time that predators are present. If predators are usually absent, prey can meet their energy demands during safe periods, and thus respond strongly during the rare times when predators are present. In contrast, if predators are almost always present, prey might need to forage actively even though predators are present, a counterintuitive prediction for many behavioural ecologists. In this review, we present and highlight the paradoxical nature of the risk allocation model. We then review studies that empirically tested the model. These studies provide only mixed support for the model. Importantly, we identify factors that help to explain why some studies supported the model and others did not. In particular, we find that studies that gave prey more time to assess and learn the risk regime had a higher probability of yielding results that supported the model. Finally, we suggest extensions of the model framework to incorporate broader and more complex ecological contexts. © 2009 The Association for the Study of Animal Behaviour.","author":[{"dropping-particle":"","family":"Ferrari","given":"Maud C.O.","non-dropping-particle":"","parse-names":false,"suffix":""},{"dropping-particle":"","family":"Sih","given":"Andrew","non-dropping-particle":"","parse-names":false,"suffix":""},{"dropping-particle":"","family":"Chivers","given":"Douglas P.","non-dropping-particle":"","parse-names":false,"suffix":""}],"container-title":"Animal Behaviour","id":"ITEM-1","issue":"3","issued":{"date-parts":[["2009"]]},"page":"579-585","publisher":"Elsevier Ltd","title":"The paradox of risk allocation: a review and prospectus","type":"article-journal","volume":"78"},"uris":["http://www.mendeley.com/documents/?uuid=cb3549f2-cfad-4f5e-81df-569be2b2ae6c"]}],"mendeley":{"formattedCitation":"(Ferrari et al. 2009)","plainTextFormattedCitation":"(Ferrari et al. 2009)","previouslyFormattedCitation":"(Ferrari et al. 2009)"},"properties":{"noteIndex":0},"schema":"https://github.com/citation-style-language/schema/raw/master/csl-citation.json"}</w:instrText>
      </w:r>
      <w:r>
        <w:rPr>
          <w:rFonts w:cstheme="minorHAnsi"/>
          <w:lang w:val="en-GB"/>
        </w:rPr>
        <w:fldChar w:fldCharType="separate"/>
      </w:r>
      <w:r w:rsidR="00022ECD" w:rsidRPr="00022ECD">
        <w:rPr>
          <w:rFonts w:cstheme="minorHAnsi"/>
          <w:noProof/>
          <w:lang w:val="en-GB"/>
        </w:rPr>
        <w:t>(Ferrari et al. 2009)</w:t>
      </w:r>
      <w:r>
        <w:rPr>
          <w:rFonts w:cstheme="minorHAnsi"/>
          <w:lang w:val="en-GB"/>
        </w:rPr>
        <w:fldChar w:fldCharType="end"/>
      </w:r>
      <w:r>
        <w:rPr>
          <w:rFonts w:cstheme="minorHAnsi"/>
          <w:lang w:val="en-GB"/>
        </w:rPr>
        <w:t>. This lack of differences in the exploratory behaviour between control and experimental conditions could be explained in the context of birds personality (see below).</w:t>
      </w:r>
    </w:p>
    <w:p w:rsidR="005939CD" w:rsidRDefault="00C24910">
      <w:pPr>
        <w:spacing w:before="240" w:line="480" w:lineRule="auto"/>
        <w:jc w:val="both"/>
        <w:rPr>
          <w:rFonts w:cstheme="minorHAnsi"/>
          <w:lang w:val="en-GB"/>
        </w:rPr>
      </w:pPr>
      <w:r>
        <w:rPr>
          <w:rFonts w:cstheme="minorHAnsi"/>
          <w:lang w:val="en-GB"/>
        </w:rPr>
        <w:t>Each of the examined behaviours affected foraging efficiency, and in case of the exploratory behaviour the effect was dependent on the circumstances. In control conditions individuals exhibiting more exploratory behaviour had also overall higher efficiency during the foraging visit. Reversed pattern was observed for the experimental conditions. A simple reason of the reversed pattern could be that each time an individual stopped feeding to change feeder it had longer time intervals, probably associated with the need to analyse “</w:t>
      </w:r>
      <w:r>
        <w:rPr>
          <w:rFonts w:cstheme="minorHAnsi"/>
          <w:i/>
          <w:iCs/>
          <w:lang w:val="en-GB"/>
        </w:rPr>
        <w:t>de novo</w:t>
      </w:r>
      <w:r>
        <w:rPr>
          <w:rFonts w:cstheme="minorHAnsi"/>
          <w:lang w:val="en-GB"/>
        </w:rPr>
        <w:t xml:space="preserve">” the risk situation. The fact, that individuals were consistent over the time and context in their exploration suggests that this behaviour may be related to personality </w:t>
      </w:r>
      <w:r>
        <w:rPr>
          <w:rFonts w:cstheme="minorHAnsi"/>
          <w:lang w:val="en-GB"/>
        </w:rPr>
        <w:fldChar w:fldCharType="begin" w:fldLock="1"/>
      </w:r>
      <w:r w:rsidR="00022ECD">
        <w:rPr>
          <w:rFonts w:cstheme="minorHAnsi"/>
          <w:lang w:val="en-GB"/>
        </w:rPr>
        <w:instrText>ADDIN CSL_CITATION {"citationItems":[{"id":"ITEM-1","itemData":{"DOI":"10.1016/j.tree.2014.11.004","author":[{"dropping-particle":"","family":"Montiglio","given":"Pierre-olivier","non-dropping-particle":"","parse-names":false,"suffix":""},{"dropping-particle":"","family":"Sih","given":"Andrew","non-dropping-particle":"","parse-names":false,"suffix":""},{"dropping-particle":"","family":"Mathot","given":"Kimberley J","non-dropping-particle":"","parse-names":false,"suffix":""},{"dropping-particle":"","family":"Wolf","given":"Max","non-dropping-particle":"","parse-names":false,"suffix":""},{"dropping-particle":"","family":"Dingemanse","given":"Niels J","non-dropping-particle":"","parse-names":false,"suffix":""}],"container-title":"Trends in Ecology and Evolution","id":"ITEM-1","issue":"1","issued":{"date-parts":[["2015"]]},"page":"50-60","title":"Animal personality and state – behaviour feedbacks: a review and guide for empiricists","type":"article-journal","volume":"30"},"uris":["http://www.mendeley.com/documents/?uuid=5029a03e-7a42-412d-a7b6-34c10dfcbadc"]},{"id":"ITEM-2","itemData":{"author":[{"dropping-particle":"","family":"Dingemanse","given":"Niels J","non-dropping-particle":"","parse-names":false,"suffix":""},{"dropping-particle":"","family":"Réale","given":"Denis","non-dropping-particle":"","parse-names":false,"suffix":""}],"container-title":"Behaviour","id":"ITEM-2","issued":{"date-parts":[["2005"]]},"page":"1165-1190","title":"Natural selection and animal personality","type":"article-journal","volume":"142"},"uris":["http://www.mendeley.com/documents/?uuid=089756e7-88c0-4aaf-8f82-c046190a3c71"]},{"id":"ITEM-3","itemData":{"DOI":"10.1098/rstb.2010.0222","author":[{"dropping-particle":"","family":"Dingemanse","given":"Niels J","non-dropping-particle":"","parse-names":false,"suffix":""},{"dropping-particle":"","family":"Kazem","given":"Anahita J N","non-dropping-particle":"","parse-names":false,"suffix":""},{"dropping-particle":"","family":"Wright","given":"Jonathan","non-dropping-particle":"","parse-names":false,"suffix":""},{"dropping-particle":"","family":"Biologiques","given":"Sciences","non-dropping-particle":"","parse-names":false,"suffix":""}],"id":"ITEM-3","issued":{"date-parts":[["2010"]]},"page":"3937-3946","title":"Evolutionary and ecological approaches to the study of personality","type":"article-journal"},"uris":["http://www.mendeley.com/documents/?uuid=bd815b21-dac0-444e-b4f3-7f61b6fac667"]},{"id":"ITEM-4","itemData":{"DOI":"10.1111/j.1469-185X.2007.00010.x","ISSN":"14647931","PMID":"17437562","abstract":"Temperament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 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 © 2007 Cambridge Philosophical Society.","author":[{"dropping-particle":"","family":"Réale","given":"Denis","non-dropping-particle":"","parse-names":false,"suffix":""},{"dropping-particle":"","family":"Reader","given":"Simon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Reviews","id":"ITEM-4","issue":"2","issued":{"date-parts":[["2007"]]},"page":"291-318","title":"Integrating animal temperament within ecology and evolution","type":"article-journal","volume":"82"},"uris":["http://www.mendeley.com/documents/?uuid=7b4528c1-810c-46d1-9f1a-094602912760"]}],"mendeley":{"formattedCitation":"(Dingemanse and Réale 2005; Réale et al. 2007; Dingemanse et al. 2010; Montiglio et al. 2015)","plainTextFormattedCitation":"(Dingemanse and Réale 2005; Réale et al. 2007; Dingemanse et al. 2010; Montiglio et al. 2015)","previouslyFormattedCitation":"(Dingemanse and Réale 2005; Réale et al. 2007; Dingemanse et al. 2010; Montiglio et al. 2015)"},"properties":{"noteIndex":0},"schema":"https://github.com/citation-style-language/schema/raw/master/csl-citation.json"}</w:instrText>
      </w:r>
      <w:r>
        <w:rPr>
          <w:rFonts w:cstheme="minorHAnsi"/>
          <w:lang w:val="en-GB"/>
        </w:rPr>
        <w:fldChar w:fldCharType="separate"/>
      </w:r>
      <w:r w:rsidR="00022ECD" w:rsidRPr="00022ECD">
        <w:rPr>
          <w:rFonts w:cstheme="minorHAnsi"/>
          <w:noProof/>
          <w:lang w:val="en-GB"/>
        </w:rPr>
        <w:t>(Dingemanse and Réale 2005; Réale et al. 2007; Dingemanse et al. 2010; Montiglio et al. 2015)</w:t>
      </w:r>
      <w:r>
        <w:rPr>
          <w:rFonts w:cstheme="minorHAnsi"/>
          <w:lang w:val="en-GB"/>
        </w:rPr>
        <w:fldChar w:fldCharType="end"/>
      </w:r>
      <w:r>
        <w:rPr>
          <w:rFonts w:cstheme="minorHAnsi"/>
          <w:lang w:val="en-GB"/>
        </w:rPr>
        <w:t xml:space="preserve">. If indeed the exploratory behaviour examined here is a personality trait, and that trait has different fitness consequences in regard to predation, the predation pressure is likely to shape distribution of exploration phenotypes in the population. Although we are not able to test this prediction currently, to </w:t>
      </w:r>
      <w:r>
        <w:rPr>
          <w:rFonts w:cstheme="minorHAnsi"/>
          <w:lang w:val="en-GB"/>
        </w:rPr>
        <w:lastRenderedPageBreak/>
        <w:t xml:space="preserve">encourage future studies, we highlight the role of predators in the evolution of personality </w:t>
      </w:r>
      <w:r>
        <w:rPr>
          <w:rFonts w:cstheme="minorHAnsi"/>
          <w:lang w:val="en-GB"/>
        </w:rPr>
        <w:fldChar w:fldCharType="begin" w:fldLock="1"/>
      </w:r>
      <w:r w:rsidR="00022ECD">
        <w:rPr>
          <w:rFonts w:cstheme="minorHAnsi"/>
          <w:lang w:val="en-GB"/>
        </w:rPr>
        <w:instrText>ADDIN CSL_CITATION {"citationItems":[{"id":"ITEM-1","itemData":{"DOI":"10.1016/j.beproc.2018.03.021","ISSN":"18728308","abstract":"Despite the encountering of a predator always being extremely threatening, there is a significant plasticity among individuals in how they cope with such a situation. In laboratory experiments with wild-caught great tits (Parus major), we tested the effect of exploratory behaviour (performance in novel food, object and environment test, startle test) on the ability of individual birds to assess the threat represented by a predator. We presented a wooden dummy of the European sparrowhawk (Accipiter nisus), an extremely dangerous predator, and its visual modifications (chimeras), changing the beak or head to be non-threatening (those of a pigeon – Columba livia f. domestica). We showed that the differences between 'slow’ and ‘fast explorers’ are not very distinct, but that 'slow explorers’ generally tended to be more cautious in the presence of an unmodified sparrowhawk dummy, while the ‘fast explorers’ tended to observe the dummy. On the contrary, 'slow explorers’ tended to treat both chimaeras (and the pigeon dummy as well) as less-threatening than ‘fast explorers’. Since 'slow explorers’ are usually considered to be more sensitive to environmental cues, it came as no surprise that most of them correctly assessed the unmodified sparrowhawk dummy as threatening, while they probably subjected the chimeras to a detailed inspection and were not confused by the presence of sparrowhawk features and assessed them as non-threatening.","author":[{"dropping-particle":"","family":"Nácarová","given":"Jana","non-dropping-particle":"","parse-names":false,"suffix":""},{"dropping-particle":"","family":"Veselý","given":"Petr","non-dropping-particle":"","parse-names":false,"suffix":""},{"dropping-particle":"","family":"Fuchs","given":"Roman","non-dropping-particle":"","parse-names":false,"suffix":""}],"container-title":"Behavioural Processes","id":"ITEM-1","issued":{"date-parts":[["2018"]]},"page":"89-95","publisher":"Elsevier B.V.","title":"Effect of the exploratory behaviour on a bird's ability to categorize a predator","type":"article-journal","volume":"151"},"uris":["http://www.mendeley.com/documents/?uuid=145970c1-7fa1-4f71-a4ea-7020ec844a8e"]},{"id":"ITEM-2","itemData":{"DOI":"10.1098/rspb.2009.1673","ISSN":"14712970","abstract":"Variation in reactions to aposematic prey is common among conspecific individuals of bird predators. It may result from different individual experience but it also exists among naive birds. This variation may possibly be explained by the effect of personality - a complex of correlated, heritable behavioural traits consistent across contexts. In the great tit (Parus major), two extreme personality types have been defined. 'Fast' explorers are bold, aggressive and routine-forming; 'slow' explorers are shy, non-aggressive and innovative. Influence of personality type on unlearned reaction to aposematic prey, rate of avoidance learning and memory were tested in naive, hand-reared great tits from two opposite lines selected for exploration (slow against fast). The birds were subjected to a sequence of trials in which they were offered aposematic adult firebugs (Pyrrhocoris apterus). Slow birds showed a greater degree of unlearned wariness and learned to avoid the firebugs faster than fast birds. Although birds of both personality types remembered their experience, slow birds were more cautious in the memory test. We conclude that not only different species but also populations of predators that differ in proportions of personality types may have different impacts on survival of aposematic insects under natural conditions. © 2009 The Royal Society.","author":[{"dropping-particle":"","family":"Exnerová","given":"Alice","non-dropping-particle":"","parse-names":false,"suffix":""},{"dropping-particle":"","family":"Svádová","given":"Kateřina Hotová","non-dropping-particle":"","parse-names":false,"suffix":""},{"dropping-particle":"","family":"Fučíková","given":"Eva","non-dropping-particle":"","parse-names":false,"suffix":""},{"dropping-particle":"","family":"Drent","given":"Pieter","non-dropping-particle":"","parse-names":false,"suffix":""},{"dropping-particle":"","family":"Štys","given":"Pavel","non-dropping-particle":"","parse-names":false,"suffix":""}],"container-title":"Proceedings of the Royal Society B: Biological Sciences","id":"ITEM-2","issue":"1682","issued":{"date-parts":[["2010"]]},"page":"723-728","title":"Personality matters: Individual variation in reactions of naive bird predators to aposematic prey","type":"article-journal","volume":"277"},"uris":["http://www.mendeley.com/documents/?uuid=f534eaf4-061a-452b-8628-109b04dd2d69"]},{"id":"ITEM-3","itemData":{"author":[{"dropping-particle":"","family":"Dingemanse","given":"Niels J","non-dropping-particle":"","parse-names":false,"suffix":""},{"dropping-particle":"","family":"Réale","given":"Denis","non-dropping-particle":"","parse-names":false,"suffix":""}],"container-title":"Behaviour","id":"ITEM-3","issued":{"date-parts":[["2005"]]},"page":"1165-1190","title":"Natural selection and animal personality","type":"article-journal","volume":"142"},"uris":["http://www.mendeley.com/documents/?uuid=089756e7-88c0-4aaf-8f82-c046190a3c71"]}],"mendeley":{"formattedCitation":"(Dingemanse and Réale 2005; Exnerová et al. 2010; Nácarová et al. 2018)","plainTextFormattedCitation":"(Dingemanse and Réale 2005; Exnerová et al. 2010; Nácarová et al. 2018)","previouslyFormattedCitation":"(Dingemanse and Réale 2005; Exnerová et al. 2010; Nácarová et al. 2018)"},"properties":{"noteIndex":0},"schema":"https://github.com/citation-style-language/schema/raw/master/csl-citation.json"}</w:instrText>
      </w:r>
      <w:r>
        <w:rPr>
          <w:rFonts w:cstheme="minorHAnsi"/>
          <w:lang w:val="en-GB"/>
        </w:rPr>
        <w:fldChar w:fldCharType="separate"/>
      </w:r>
      <w:r w:rsidR="00022ECD" w:rsidRPr="00022ECD">
        <w:rPr>
          <w:rFonts w:cstheme="minorHAnsi"/>
          <w:noProof/>
          <w:lang w:val="en-GB"/>
        </w:rPr>
        <w:t>(Dingemanse and Réale 2005; Exnerová et al. 2010; Nácarová et al. 2018)</w:t>
      </w:r>
      <w:r>
        <w:rPr>
          <w:rFonts w:cstheme="minorHAnsi"/>
          <w:lang w:val="en-GB"/>
        </w:rPr>
        <w:fldChar w:fldCharType="end"/>
      </w:r>
      <w:r>
        <w:rPr>
          <w:rFonts w:cstheme="minorHAnsi"/>
          <w:lang w:val="en-GB"/>
        </w:rPr>
        <w:t>.</w:t>
      </w:r>
    </w:p>
    <w:p w:rsidR="005939CD" w:rsidRDefault="00C24910">
      <w:pPr>
        <w:spacing w:before="240" w:line="480" w:lineRule="auto"/>
        <w:jc w:val="both"/>
        <w:rPr>
          <w:rFonts w:cstheme="minorHAnsi"/>
          <w:lang w:val="en-GB"/>
        </w:rPr>
      </w:pPr>
      <w:r>
        <w:rPr>
          <w:rFonts w:cstheme="minorHAnsi"/>
          <w:lang w:val="en-GB"/>
        </w:rPr>
        <w:t xml:space="preserve">Risk-avoidance negatively affected foraging efficiency, meaning that individuals exhibiting high risk-aversion might jeopardize their survival in terms of energy intake while individuals with low-risk aversion, although benefiting from high foraging efficiency, would be more likely to be predated. The fitness consequences of this trade-off are obviously condition dependent. If the risk-avoidance, as measured in the present study (i.e. latency to initiate foraging), was related to birds personality, the relationship between that and foraging efficiency would contribute in the selection of given behavioural phenotype in given predation risk level. Consistently, frequent changes and/or unpredictable level of risk predation in the environment would maintain variability in this behavioural phenotype </w:t>
      </w:r>
      <w:r>
        <w:rPr>
          <w:rFonts w:cstheme="minorHAnsi"/>
          <w:lang w:val="en-GB"/>
        </w:rPr>
        <w:fldChar w:fldCharType="begin" w:fldLock="1"/>
      </w:r>
      <w:r w:rsidR="00022ECD">
        <w:rPr>
          <w:rFonts w:cstheme="minorHAnsi"/>
          <w:lang w:val="en-GB"/>
        </w:rPr>
        <w:instrText>ADDIN CSL_CITATION {"citationItems":[{"id":"ITEM-1","itemData":{"DOI":"10.1093/beheco/arm144","author":[{"dropping-particle":"","family":"Smith","given":"Brian R","non-dropping-particle":"","parse-names":false,"suffix":""},{"dropping-particle":"","family":"Blumstein","given":"Daniel T","non-dropping-particle":"","parse-names":false,"suffix":""}],"container-title":"Behavioral Ecology","id":"ITEM-1","issue":"January","issued":{"date-parts":[["2008"]]},"title":"Fitness consequences of personality: a meta-analysis","type":"article-journal"},"uris":["http://www.mendeley.com/documents/?uuid=b3da6216-bb68-4957-a747-f38ec9f1e99f"]}],"mendeley":{"formattedCitation":"(Smith and Blumstein 2008)","plainTextFormattedCitation":"(Smith and Blumstein 2008)","previouslyFormattedCitation":"(Smith and Blumstein 2008)"},"properties":{"noteIndex":0},"schema":"https://github.com/citation-style-language/schema/raw/master/csl-citation.json"}</w:instrText>
      </w:r>
      <w:r>
        <w:rPr>
          <w:rFonts w:cstheme="minorHAnsi"/>
          <w:lang w:val="en-GB"/>
        </w:rPr>
        <w:fldChar w:fldCharType="separate"/>
      </w:r>
      <w:r w:rsidR="00022ECD" w:rsidRPr="00022ECD">
        <w:rPr>
          <w:rFonts w:cstheme="minorHAnsi"/>
          <w:noProof/>
          <w:lang w:val="en-GB"/>
        </w:rPr>
        <w:t>(Smith and Blumstein 2008)</w:t>
      </w:r>
      <w:r>
        <w:rPr>
          <w:rFonts w:cstheme="minorHAnsi"/>
          <w:lang w:val="en-GB"/>
        </w:rPr>
        <w:fldChar w:fldCharType="end"/>
      </w:r>
      <w:r>
        <w:rPr>
          <w:rFonts w:cstheme="minorHAnsi"/>
          <w:lang w:val="en-GB"/>
        </w:rPr>
        <w:t>.</w:t>
      </w:r>
    </w:p>
    <w:p w:rsidR="005939CD" w:rsidRDefault="00C24910">
      <w:pPr>
        <w:spacing w:before="240" w:line="480" w:lineRule="auto"/>
        <w:jc w:val="both"/>
        <w:rPr>
          <w:rFonts w:cstheme="minorHAnsi"/>
          <w:lang w:val="en-GB"/>
        </w:rPr>
      </w:pPr>
      <w:r>
        <w:rPr>
          <w:rFonts w:cstheme="minorHAnsi"/>
          <w:lang w:val="en-GB"/>
        </w:rPr>
        <w:t xml:space="preserve">To maximize fitness, hummingbirds should adaptively allocate both the exploratory and risk-avoidance behaviour. Given results of our study, we could try to predict differences in foraging strategy between two groups of hummingbirds of potentially distinct foraging strategy, trappliners and territorials. Obviously, making these differences precise we would be too much speculative. However, numerous differences in foraging strategy of trappliners and territorials could be listed </w:t>
      </w:r>
      <w:r>
        <w:rPr>
          <w:rFonts w:cstheme="minorHAnsi"/>
          <w:lang w:val="en-GB"/>
        </w:rPr>
        <w:fldChar w:fldCharType="begin" w:fldLock="1"/>
      </w:r>
      <w:r w:rsidR="00022ECD">
        <w:rPr>
          <w:rFonts w:cstheme="minorHAnsi"/>
          <w:lang w:val="en-GB"/>
        </w:rPr>
        <w:instrText>ADDIN CSL_CITATION {"citationItems":[{"id":"ITEM-1","itemData":{"DOI":"10.1093/beheco/arv014","ISSN":"14657279","abstract":"As for other pollinators, hummingbirds have been classified as trapliners, that is, foragers that repeat the order in which they will revisit several locations. Although the study of hummingbird foraging behavior is extensive, there has been no direct evidence for the repeatability of hummingbird traplines. Here, we show that male territorial rufous hummingbirds repeated the order in which they visited artificial flowers in an array, which we increased one by one from 2 to 5 flowers. Despite the large number of possible routes that the birds could have flown around the flower arrays, the birds flew only a very small subset of routes and those routes were most often the shortest distance routes around the flowers. To our knowledge, this is the first quantitative evidence that hummingbirds do develop traplines when foraging.","author":[{"dropping-particle":"","family":"Tello-Ramos","given":"Maria Cristina","non-dropping-particle":"","parse-names":false,"suffix":""},{"dropping-particle":"","family":"Hurly","given":"T. Andrew","non-dropping-particle":"","parse-names":false,"suffix":""},{"dropping-particle":"","family":"Healy","given":"Susan D.","non-dropping-particle":"","parse-names":false,"suffix":""}],"container-title":"Behavioral Ecology","id":"ITEM-1","issue":"3","issued":{"date-parts":[["2015"]]},"page":"812-819","title":"Traplining in hummingbirds: Flying shortdistance sequences among several locations","type":"article-journal","volume":"26"},"uris":["http://www.mendeley.com/documents/?uuid=d1341285-40b8-45d5-8a45-22bdf4837c44"]},{"id":"ITEM-2","itemData":{"DOI":"10.1093/beheco/ari031","ISSN":"10452249","abstract":"Many foraging animals return to feeding sites to harvest replenishing resources, but little is known about efficient tactics for doing this. Can animals with adequate cognitive abilities increase their efficiency by modifying their behavior according to memories of past experience at particular sites? We developed a simulation model of animals harvesting renewable resources from isolated patches in undefended, competitive situations. We compared four foraging tactics: (1) moving stochastically without using any information from past experiences (random searching); (2) moving stochastically, but going longer distances after encountering lower reward (area-restricted searching); (3) repeatedly moving along a fixed route (complete traplining); and (4) traplining, but sampling and shifting to neighboring rewarding patches after encountering low reward (sample-and-shift traplining). Following Possingham, we tracked both the resources actually harvested by a focal forager (i.e., rewards) and the standing crops of resources that accumulated at patches. Complete traplining always produces less variation in elapsed time between visits than random searching or area-restricted searching, which has three benefits: increasing the reward crop harvested, if resource renews nonlinearly; reducing resource standing crop in patches; and reducing variation in reward crop per patch. Moreover, the systematic revisitation schedule produced by complete traplining makes it more competitive, regardless of resource renewal schedule or competitor frequency. By responding to their past experiences, using sample-and-shift traplining, foragers benefit only when many patches are left unvisited in the habitat. Otherwise, the exploratory component of sample-and-shift traplining, which increases the movement distance and the variation in elapsed time between visits, makes it more costly than complete traplining. Thus, traplining will usually be beneficial, but foragers should switch between \"impatient\" (sample-and-shift traplining) and \"tenacious\" (complete traplining) traplining, according to temporal changes in surrounding situations. © The Author 2005. Published by Oxford University Press on behalf of the International Society for Behavioral Ecology. All rights reserved.","author":[{"dropping-particle":"","family":"Ohashi","given":"Kazuharu","non-dropping-particle":"","parse-names":false,"suffix":""},{"dropping-particle":"","family":"Thomson","given":"James D.","non-dropping-particle":"","parse-names":false,"suffix":""}],"container-title":"Behavioral Ecology","id":"ITEM-2","issue":"3","issued":{"date-parts":[["2005"]]},"page":"592-605","title":"Efficient harvesting of renewing resources","type":"article-journal","volume":"16"},"uris":["http://www.mendeley.com/documents/?uuid=f7a34303-9cb5-4b1f-a373-cfeb6dece0c2"]},{"id":"ITEM-3","itemData":{"DOI":"10.2307/1941170","ISBN":"00129658","ISSN":"0012-9658","abstract":"Traplining hummingbirds face a conflict between waiting for undefended floral nectar to accumulate to higher levels of profit and losing accumulated nectar to competitors. The goal of this research was to learn the rules and temporal patterns of flower visitation by Long-tailed Hermit Hummingbirds (Phaethornis superciliosus). Monitors of visits by color-marked individuals, particularly lek males, to natural flowers established patterns of feeding in space and time. Monitors of visits to nectar feeders that were refilled at fixed intervals established patterns of adjustment to nectar availability and competitive losses. Competing hummingbirds tended to segregate among undefended feeding sites, with one individual becoming the primary user of each site. Competition caused hummingbirds to visit a feeder frequently, often before a scheduled refill. In this way one individual could harvest most of the provided nectar. Under conditions of nearly exclusive use of a feeder with artificial nectar, the hummingbirds adjusted their visits to operant (fixed-interval) schedules of food presentation. The scheduled harvesting of floral nectar by traplining hermit hummingbirds thus entails the adaptive use of short, elapsed time intervals.","author":[{"dropping-particle":"","family":"Gill","given":"Frank B.","non-dropping-particle":"","parse-names":false,"suffix":""}],"container-title":"Ecology","id":"ITEM-3","issue":"6","issued":{"date-parts":[["1988"]]},"page":"1933-1942","title":"Trapline foraging by hermit hummingbirds: competition for an undefended, renewable resource","type":"article-journal","volume":"69"},"uris":["http://www.mendeley.com/documents/?uuid=31c262ad-0c03-4de0-9f9e-c23454dae75d"]}],"mendeley":{"formattedCitation":"(Gill 1988; Ohashi and Thomson 2005; Tello-Ramos et al. 2015)","plainTextFormattedCitation":"(Gill 1988; Ohashi and Thomson 2005; Tello-Ramos et al. 2015)","previouslyFormattedCitation":"(Gill 1988; Ohashi and Thomson 2005; Tello-Ramos et al. 2015)"},"properties":{"noteIndex":0},"schema":"https://github.com/citation-style-language/schema/raw/master/csl-citation.json"}</w:instrText>
      </w:r>
      <w:r>
        <w:rPr>
          <w:rFonts w:cstheme="minorHAnsi"/>
          <w:lang w:val="en-GB"/>
        </w:rPr>
        <w:fldChar w:fldCharType="separate"/>
      </w:r>
      <w:r w:rsidR="00022ECD" w:rsidRPr="00022ECD">
        <w:rPr>
          <w:rFonts w:cstheme="minorHAnsi"/>
          <w:noProof/>
          <w:lang w:val="en-GB"/>
        </w:rPr>
        <w:t>(Gill 1988; Ohashi and Thomson 2005; Tello-Ramos et al. 2015)</w:t>
      </w:r>
      <w:r>
        <w:rPr>
          <w:rFonts w:cstheme="minorHAnsi"/>
          <w:lang w:val="en-GB"/>
        </w:rPr>
        <w:fldChar w:fldCharType="end"/>
      </w:r>
      <w:r>
        <w:rPr>
          <w:rFonts w:cstheme="minorHAnsi"/>
          <w:lang w:val="en-GB"/>
        </w:rPr>
        <w:t xml:space="preserve"> and our study would simply suggest a possible importance of predator pressure in shaping these differences. </w:t>
      </w:r>
    </w:p>
    <w:p w:rsidR="005939CD" w:rsidRDefault="00C24910">
      <w:pPr>
        <w:spacing w:before="240" w:line="480" w:lineRule="auto"/>
        <w:jc w:val="both"/>
        <w:rPr>
          <w:rFonts w:cstheme="minorHAnsi"/>
          <w:lang w:val="en-GB"/>
        </w:rPr>
      </w:pPr>
      <w:r>
        <w:rPr>
          <w:rFonts w:cstheme="minorHAnsi"/>
          <w:lang w:val="en-GB"/>
        </w:rPr>
        <w:t>An increasing foraging efficiency with an increase in arousal maybe counterintuitive at first glance, time allocated to movements potentially limits the time for foraging. However, arousal was not a repeatable trait, thus an animal arousal may be an outcome of its nutritional state, and more active individuals could be more effective during the foraging, owing to their good body condition.</w:t>
      </w:r>
    </w:p>
    <w:p w:rsidR="005939CD" w:rsidRDefault="00C24910">
      <w:pPr>
        <w:spacing w:before="240" w:line="480" w:lineRule="auto"/>
        <w:jc w:val="both"/>
        <w:rPr>
          <w:rFonts w:cstheme="minorHAnsi"/>
          <w:lang w:val="en-GB"/>
        </w:rPr>
      </w:pPr>
      <w:r>
        <w:rPr>
          <w:rFonts w:cstheme="minorHAnsi"/>
          <w:lang w:val="en-GB"/>
        </w:rPr>
        <w:t xml:space="preserve">Both exploratory and risk-avoidance behaviour were quite repeatable for individuals suggesting that these two behaviours are potentially related to birds personality </w:t>
      </w:r>
      <w:r>
        <w:rPr>
          <w:rFonts w:cstheme="minorHAnsi"/>
          <w:lang w:val="en-GB"/>
        </w:rPr>
        <w:fldChar w:fldCharType="begin" w:fldLock="1"/>
      </w:r>
      <w:r w:rsidR="00022ECD">
        <w:rPr>
          <w:rFonts w:cstheme="minorHAnsi"/>
          <w:lang w:val="en-GB"/>
        </w:rPr>
        <w:instrText>ADDIN CSL_CITATION {"citationItems":[{"id":"ITEM-1","itemData":{"DOI":"10.1016/j.tree.2004.04.009","author":[{"dropping-particle":"","family":"Sih","given":"Andrew","non-dropping-particle":"","parse-names":false,"suffix":""},{"dropping-particle":"","family":"Bell","given":"Alison","non-dropping-particle":"","parse-names":false,"suffix":""},{"dropping-particle":"","family":"Johnson","given":"J Chadwick","non-dropping-particle":"","parse-names":false,"suffix":""}],"container-title":"Trends in Ecology &amp; Evolution","id":"ITEM-1","issue":"7","issued":{"date-parts":[["2004"]]},"page":"372-378","title":"Behavioral syndromes : an ecological and evolutionary overview","type":"article-journal","volume":"19"},"uris":["http://www.mendeley.com/documents/?uuid=b4403c39-333b-4c15-b807-acaa0c4befc3"]},{"id":"ITEM-2","itemData":{"author":[{"dropping-particle":"","family":"Dingemanse","given":"Niels J","non-dropping-particle":"","parse-names":false,"suffix":""},{"dropping-particle":"","family":"Réale","given":"Denis","non-dropping-particle":"","parse-names":false,"suffix":""}],"container-title":"Behaviour","id":"ITEM-2","issued":{"date-parts":[["2005"]]},"page":"1165-1190","title":"Natural selection and animal personality","type":"article-journal","volume":"142"},"uris":["http://www.mendeley.com/documents/?uuid=089756e7-88c0-4aaf-8f82-c046190a3c71"]},{"id":"ITEM-3","itemData":{"DOI":"10.1111/2041-210X.12281","author":[{"dropping-particle":"","family":"Cleasby","given":"Ian R","non-dropping-particle":"","parse-names":false,"suffix":""},{"dropping-particle":"","family":"Nakagawa","given":"Shinichi","non-dropping-particle":"","parse-names":false,"suffix":""},{"dropping-particle":"","family":"Schielzeth","given":"Holger","non-dropping-particle":"","parse-names":false,"suffix":""}],"container-title":"Methods in Ecology and Evolution","id":"ITEM-3","issued":{"date-parts":[["2015"]]},"page":"27-37","title":"Quantifying the predictability of behaviour: statistical approaches for the study of between-individual variation in the within-individual variance","type":"article-journal","volume":"6"},"uris":["http://www.mendeley.com/documents/?uuid=263b0c34-4910-4675-bdba-e8c777e21f74"]}],"mendeley":{"formattedCitation":"(Sih et al. 2004; Dingemanse and Réale 2005; Cleasby et al. 2015)","plainTextFormattedCitation":"(Sih et al. 2004; Dingemanse and Réale 2005; Cleasby et al. 2015)","previouslyFormattedCitation":"(Sih et al. 2004; Dingemanse and Réale 2005; Cleasby et al. 2015)"},"properties":{"noteIndex":0},"schema":"https://github.com/citation-style-language/schema/raw/master/csl-citation.json"}</w:instrText>
      </w:r>
      <w:r>
        <w:rPr>
          <w:rFonts w:cstheme="minorHAnsi"/>
          <w:lang w:val="en-GB"/>
        </w:rPr>
        <w:fldChar w:fldCharType="separate"/>
      </w:r>
      <w:r w:rsidR="00022ECD" w:rsidRPr="00022ECD">
        <w:rPr>
          <w:rFonts w:cstheme="minorHAnsi"/>
          <w:noProof/>
          <w:lang w:val="en-GB"/>
        </w:rPr>
        <w:t xml:space="preserve">(Sih et al. 2004; Dingemanse and </w:t>
      </w:r>
      <w:r w:rsidR="00022ECD" w:rsidRPr="00022ECD">
        <w:rPr>
          <w:rFonts w:cstheme="minorHAnsi"/>
          <w:noProof/>
          <w:lang w:val="en-GB"/>
        </w:rPr>
        <w:lastRenderedPageBreak/>
        <w:t>Réale 2005; Cleasby et al. 2015)</w:t>
      </w:r>
      <w:r>
        <w:rPr>
          <w:rFonts w:cstheme="minorHAnsi"/>
          <w:lang w:val="en-GB"/>
        </w:rPr>
        <w:fldChar w:fldCharType="end"/>
      </w:r>
      <w:r>
        <w:rPr>
          <w:rFonts w:cstheme="minorHAnsi"/>
          <w:lang w:val="en-GB"/>
        </w:rPr>
        <w:t xml:space="preserve">. Three different groups in foraging efficiency in response to experimental threatening (increased, decreased and unchanged foraging efficiency, Fig. 2) additionally suggest that individuals respond to given conditions in different way, possibly depending on their personality. Thus, in a constantly changing environment, varying fitness consequences of given behavioural phenotype would maintain variation in animals personality </w:t>
      </w:r>
      <w:r>
        <w:rPr>
          <w:rFonts w:cstheme="minorHAnsi"/>
          <w:lang w:val="en-GB"/>
        </w:rPr>
        <w:fldChar w:fldCharType="begin" w:fldLock="1"/>
      </w:r>
      <w:r w:rsidR="00022ECD">
        <w:rPr>
          <w:rFonts w:cstheme="minorHAnsi"/>
          <w:lang w:val="en-GB"/>
        </w:rPr>
        <w:instrText>ADDIN CSL_CITATION {"citationItems":[{"id":"ITEM-1","itemData":{"DOI":"10.1093/beheco/arm144","author":[{"dropping-particle":"","family":"Smith","given":"Brian R","non-dropping-particle":"","parse-names":false,"suffix":""},{"dropping-particle":"","family":"Blumstein","given":"Daniel T","non-dropping-particle":"","parse-names":false,"suffix":""}],"container-title":"Behavioral Ecology","id":"ITEM-1","issue":"January","issued":{"date-parts":[["2008"]]},"title":"Fitness consequences of personality: a meta-analysis","type":"article-journal"},"uris":["http://www.mendeley.com/documents/?uuid=b3da6216-bb68-4957-a747-f38ec9f1e99f"]}],"mendeley":{"formattedCitation":"(Smith and Blumstein 2008)","plainTextFormattedCitation":"(Smith and Blumstein 2008)","previouslyFormattedCitation":"(Smith and Blumstein 2008)"},"properties":{"noteIndex":0},"schema":"https://github.com/citation-style-language/schema/raw/master/csl-citation.json"}</w:instrText>
      </w:r>
      <w:r>
        <w:rPr>
          <w:rFonts w:cstheme="minorHAnsi"/>
          <w:lang w:val="en-GB"/>
        </w:rPr>
        <w:fldChar w:fldCharType="separate"/>
      </w:r>
      <w:r w:rsidR="00022ECD" w:rsidRPr="00022ECD">
        <w:rPr>
          <w:rFonts w:cstheme="minorHAnsi"/>
          <w:noProof/>
          <w:lang w:val="en-GB"/>
        </w:rPr>
        <w:t>(Smith and Blumstein 2008)</w:t>
      </w:r>
      <w:r>
        <w:rPr>
          <w:rFonts w:cstheme="minorHAnsi"/>
          <w:lang w:val="en-GB"/>
        </w:rPr>
        <w:fldChar w:fldCharType="end"/>
      </w:r>
      <w:r>
        <w:rPr>
          <w:rFonts w:cstheme="minorHAnsi"/>
          <w:lang w:val="en-GB"/>
        </w:rPr>
        <w:t>. If indeed the exploratory and risk-avoidance behaviour are at least partially heritable personality traits, one could use them to model an evolutionary scenario for given behavioural phenotypes in various conditions of predation pressure. We are currently not able to perform any analysis of that kind given the relatively low number of tested individuals but we point out hummingbirds as potential animal model species in the studies of animals personality.</w:t>
      </w:r>
    </w:p>
    <w:p w:rsidR="005939CD" w:rsidRDefault="005939CD">
      <w:pPr>
        <w:spacing w:before="240" w:line="480" w:lineRule="auto"/>
        <w:jc w:val="both"/>
        <w:rPr>
          <w:rFonts w:cstheme="minorHAnsi"/>
          <w:lang w:val="en-GB"/>
        </w:rPr>
      </w:pPr>
    </w:p>
    <w:p w:rsidR="007A0A87" w:rsidRPr="007A0A87" w:rsidRDefault="007A0A87" w:rsidP="007A0A87">
      <w:pPr>
        <w:spacing w:line="480" w:lineRule="auto"/>
        <w:jc w:val="both"/>
        <w:rPr>
          <w:rFonts w:cstheme="minorHAnsi"/>
          <w:b/>
          <w:lang w:val="en-GB"/>
        </w:rPr>
      </w:pPr>
      <w:r w:rsidRPr="007A0A87">
        <w:rPr>
          <w:rFonts w:cstheme="minorHAnsi"/>
          <w:b/>
          <w:lang w:val="en-GB"/>
        </w:rPr>
        <w:t>Acknowledgements</w:t>
      </w:r>
      <w:r w:rsidR="002418D4">
        <w:rPr>
          <w:rFonts w:cstheme="minorHAnsi"/>
          <w:b/>
          <w:lang w:val="en-GB"/>
        </w:rPr>
        <w:t xml:space="preserve">. </w:t>
      </w:r>
      <w:r w:rsidRPr="007A0A87">
        <w:rPr>
          <w:rFonts w:cstheme="minorHAnsi"/>
          <w:lang w:val="en-GB"/>
        </w:rPr>
        <w:t xml:space="preserve">The study was funded by the National Geographic Society (CRE grant no. 9169-12), a Research Initiation Grant from New Mexico State University, the College of Arts and Sciences and the Biology Department at New Mexico State University, the Organization for Tropical Studies and the British Ornithological Union. We thank Elizabeth Rogers, Judith Smith and Virgilio Lopez III for assistance in field work. </w:t>
      </w:r>
    </w:p>
    <w:p w:rsidR="007A0A87" w:rsidRDefault="00D0744C">
      <w:pPr>
        <w:spacing w:line="480" w:lineRule="auto"/>
        <w:jc w:val="both"/>
        <w:rPr>
          <w:rFonts w:cstheme="minorHAnsi"/>
          <w:b/>
          <w:lang w:val="en-GB"/>
        </w:rPr>
      </w:pPr>
      <w:r>
        <w:rPr>
          <w:rFonts w:cstheme="minorHAnsi"/>
          <w:b/>
          <w:lang w:val="en-GB"/>
        </w:rPr>
        <w:t xml:space="preserve">Data availability. </w:t>
      </w:r>
      <w:r w:rsidRPr="00D0744C">
        <w:rPr>
          <w:rFonts w:cstheme="minorHAnsi"/>
          <w:lang w:val="en-GB"/>
        </w:rPr>
        <w:t>Data</w:t>
      </w:r>
      <w:r>
        <w:rPr>
          <w:rFonts w:cstheme="minorHAnsi"/>
          <w:b/>
          <w:lang w:val="en-GB"/>
        </w:rPr>
        <w:t xml:space="preserve"> </w:t>
      </w:r>
      <w:r w:rsidRPr="00D0744C">
        <w:rPr>
          <w:rFonts w:cstheme="minorHAnsi"/>
          <w:lang w:val="en-GB"/>
        </w:rPr>
        <w:t>associated</w:t>
      </w:r>
      <w:r>
        <w:rPr>
          <w:rFonts w:cstheme="minorHAnsi"/>
          <w:lang w:val="en-GB"/>
        </w:rPr>
        <w:t xml:space="preserve"> with the manuscript </w:t>
      </w:r>
      <w:r w:rsidR="00C4197E">
        <w:rPr>
          <w:rFonts w:cstheme="minorHAnsi"/>
          <w:lang w:val="en-GB"/>
        </w:rPr>
        <w:t>included as supplementary materials</w:t>
      </w:r>
      <w:r>
        <w:rPr>
          <w:rFonts w:cstheme="minorHAnsi"/>
          <w:lang w:val="en-GB"/>
        </w:rPr>
        <w:t>.</w:t>
      </w:r>
    </w:p>
    <w:p w:rsidR="005939CD" w:rsidRDefault="002418D4">
      <w:pPr>
        <w:spacing w:line="480" w:lineRule="auto"/>
        <w:jc w:val="both"/>
        <w:rPr>
          <w:rFonts w:cstheme="minorHAnsi"/>
          <w:b/>
          <w:lang w:val="en-GB"/>
        </w:rPr>
      </w:pPr>
      <w:r>
        <w:rPr>
          <w:rFonts w:cstheme="minorHAnsi"/>
          <w:b/>
          <w:lang w:val="en-GB"/>
        </w:rPr>
        <w:t xml:space="preserve">Author Contribution. </w:t>
      </w:r>
      <w:r w:rsidR="00C24910">
        <w:rPr>
          <w:rFonts w:cstheme="minorHAnsi"/>
          <w:lang w:val="en-GB"/>
        </w:rPr>
        <w:t>Authors equally conceived the study, contributed to data collection, data analysis and manuscript writing.</w:t>
      </w:r>
    </w:p>
    <w:p w:rsidR="005939CD" w:rsidRPr="002418D4" w:rsidRDefault="002418D4">
      <w:pPr>
        <w:spacing w:line="480" w:lineRule="auto"/>
        <w:jc w:val="both"/>
        <w:rPr>
          <w:rFonts w:cstheme="minorHAnsi"/>
          <w:b/>
          <w:lang w:val="en-GB"/>
        </w:rPr>
      </w:pPr>
      <w:r w:rsidRPr="002418D4">
        <w:rPr>
          <w:b/>
          <w:lang w:val="en-GB"/>
        </w:rPr>
        <w:t>C</w:t>
      </w:r>
      <w:r w:rsidRPr="002418D4">
        <w:rPr>
          <w:b/>
          <w:lang w:val="en-GB"/>
        </w:rPr>
        <w:t>onflict of interest</w:t>
      </w:r>
      <w:r w:rsidRPr="002418D4">
        <w:rPr>
          <w:b/>
          <w:lang w:val="en-GB"/>
        </w:rPr>
        <w:t>.</w:t>
      </w:r>
      <w:r w:rsidRPr="002418D4">
        <w:rPr>
          <w:lang w:val="en-GB"/>
        </w:rPr>
        <w:t xml:space="preserve"> Authors declare not conflict of in</w:t>
      </w:r>
      <w:r>
        <w:rPr>
          <w:lang w:val="en-GB"/>
        </w:rPr>
        <w:t>terest.</w:t>
      </w:r>
    </w:p>
    <w:p w:rsidR="006B3D9A" w:rsidRDefault="006B3D9A">
      <w:pPr>
        <w:spacing w:line="480" w:lineRule="auto"/>
        <w:jc w:val="both"/>
        <w:rPr>
          <w:rFonts w:cstheme="minorHAnsi"/>
          <w:b/>
          <w:lang w:val="en-GB"/>
        </w:rPr>
      </w:pPr>
    </w:p>
    <w:p w:rsidR="006B3D9A" w:rsidRDefault="006B3D9A">
      <w:pPr>
        <w:spacing w:line="480" w:lineRule="auto"/>
        <w:jc w:val="both"/>
        <w:rPr>
          <w:rFonts w:cstheme="minorHAnsi"/>
          <w:b/>
          <w:lang w:val="en-GB"/>
        </w:rPr>
      </w:pPr>
    </w:p>
    <w:p w:rsidR="005939CD" w:rsidRDefault="00C24910">
      <w:pPr>
        <w:spacing w:line="480" w:lineRule="auto"/>
        <w:jc w:val="both"/>
        <w:rPr>
          <w:rFonts w:cstheme="minorHAnsi"/>
          <w:bCs/>
          <w:lang w:val="en-GB"/>
        </w:rPr>
      </w:pPr>
      <w:r>
        <w:rPr>
          <w:rFonts w:cstheme="minorHAnsi"/>
          <w:b/>
          <w:lang w:val="en-GB"/>
        </w:rPr>
        <w:t>References</w:t>
      </w:r>
    </w:p>
    <w:p w:rsidR="00022ECD" w:rsidRPr="007A0A87" w:rsidRDefault="00C24910" w:rsidP="00022ECD">
      <w:pPr>
        <w:widowControl w:val="0"/>
        <w:autoSpaceDE w:val="0"/>
        <w:autoSpaceDN w:val="0"/>
        <w:adjustRightInd w:val="0"/>
        <w:spacing w:line="480" w:lineRule="auto"/>
        <w:ind w:left="480" w:hanging="480"/>
        <w:rPr>
          <w:rFonts w:ascii="Calibri" w:hAnsi="Calibri" w:cs="Calibri"/>
          <w:noProof/>
          <w:szCs w:val="24"/>
          <w:lang w:val="en-GB"/>
        </w:rPr>
      </w:pPr>
      <w:r>
        <w:rPr>
          <w:rFonts w:cstheme="minorHAnsi"/>
          <w:b/>
          <w:lang w:val="en-GB"/>
        </w:rPr>
        <w:lastRenderedPageBreak/>
        <w:fldChar w:fldCharType="begin" w:fldLock="1"/>
      </w:r>
      <w:r>
        <w:rPr>
          <w:rFonts w:cstheme="minorHAnsi"/>
          <w:b/>
          <w:lang w:val="en-GB"/>
        </w:rPr>
        <w:instrText xml:space="preserve">ADDIN Mendeley Bibliography CSL_BIBLIOGRAPHY </w:instrText>
      </w:r>
      <w:r>
        <w:rPr>
          <w:rFonts w:cstheme="minorHAnsi"/>
          <w:b/>
          <w:lang w:val="en-GB"/>
        </w:rPr>
        <w:fldChar w:fldCharType="separate"/>
      </w:r>
      <w:r w:rsidR="00022ECD" w:rsidRPr="00022ECD">
        <w:rPr>
          <w:rFonts w:ascii="Calibri" w:hAnsi="Calibri" w:cs="Calibri"/>
          <w:noProof/>
          <w:szCs w:val="24"/>
          <w:lang w:val="en-GB"/>
        </w:rPr>
        <w:t xml:space="preserve">Alonzo SH (2015) Integrating the how and why of within-individual and among-individual variation and plasticity in behavior. </w:t>
      </w:r>
      <w:r w:rsidR="00022ECD" w:rsidRPr="007A0A87">
        <w:rPr>
          <w:rFonts w:ascii="Calibri" w:hAnsi="Calibri" w:cs="Calibri"/>
          <w:noProof/>
          <w:szCs w:val="24"/>
          <w:lang w:val="en-GB"/>
        </w:rPr>
        <w:t>Curr Opin Behav Sci 6:69–75</w:t>
      </w:r>
    </w:p>
    <w:p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Araya-Salas M, Gonzalez-Gomez P, Wojczulanis-Jakubas K, et al (2018) Spatial memory is as important as weapon and body size for territorial ownership in a lekking hummingbird. Sci Rep 8:. doi: 10.1038/s41598-018-20441-x</w:t>
      </w:r>
    </w:p>
    <w:p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Bautista LM, Tinbergen J, Kacelnik A (2001) To walk or to fly? How birds choose among foraging modes. Proc Natl Acad Sci U S A 98:1089–1094. doi: 10.1073/pnas.98.3.1089</w:t>
      </w:r>
    </w:p>
    <w:p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Bell AM, Hankison SJ, Laskowski KL (2009) The repeatability of behaviour: a meta-analysis. Anim Behav 77:771–783. doi: 10.1016/j.anbehav.2008.12.022</w:t>
      </w:r>
    </w:p>
    <w:p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Bergeron P, Montiglio PO, Réale D, et al (2013) Disruptive viability selection on adult exploratory behaviour in eastern chipmunks. J. Evol. Biol. 26:766–774</w:t>
      </w:r>
    </w:p>
    <w:p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s-ES"/>
        </w:rPr>
      </w:pPr>
      <w:r w:rsidRPr="007A0A87">
        <w:rPr>
          <w:rFonts w:ascii="Calibri" w:hAnsi="Calibri" w:cs="Calibri"/>
          <w:noProof/>
          <w:szCs w:val="24"/>
          <w:lang w:val="en-GB"/>
        </w:rPr>
        <w:t xml:space="preserve">Camprasse ECM, Cherel Y, Bustamante P, et al (2017) Intra-and inter-individual variation in the foraging ecology of a generalist subantarctic seabird, the gentoo penguin. </w:t>
      </w:r>
      <w:r w:rsidRPr="007A0A87">
        <w:rPr>
          <w:rFonts w:ascii="Calibri" w:hAnsi="Calibri" w:cs="Calibri"/>
          <w:noProof/>
          <w:szCs w:val="24"/>
          <w:lang w:val="es-ES"/>
        </w:rPr>
        <w:t>Mar Ecol Prog Ser 578:227–242. doi: 10.3354/meps12151</w:t>
      </w:r>
    </w:p>
    <w:p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s-ES"/>
        </w:rPr>
        <w:t xml:space="preserve">Carere C, Maestripieri D (2013) No Animal Personalities. </w:t>
      </w:r>
      <w:r w:rsidRPr="007A0A87">
        <w:rPr>
          <w:rFonts w:ascii="Calibri" w:hAnsi="Calibri" w:cs="Calibri"/>
          <w:noProof/>
          <w:szCs w:val="24"/>
          <w:lang w:val="en-GB"/>
        </w:rPr>
        <w:t>The University of Chicago Press</w:t>
      </w:r>
    </w:p>
    <w:p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Charnov EL (1976) Optimal foraging, the Marginal Value Theorem. Theor Popul Biol 9:739–752</w:t>
      </w:r>
    </w:p>
    <w:p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Cleasby IR, Nakagawa S, Schielzeth H (2015) Quantifying the predictability of behaviour: statistical approaches for the study of between-individual variation in the within-individual variance. Methods Ecol Evol 6:27–37. doi: 10.1111/2041-210X.12281</w:t>
      </w:r>
    </w:p>
    <w:p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Couchoux C, Cresswell W (2012) Personality constraints versus flexible antipredation behaviors: How important is boldness in risk management of redshanks (Tringa totanus) foraging in a natural system? Behav Ecol 23:290–301. doi: 10.1093/beheco/arr185</w:t>
      </w:r>
    </w:p>
    <w:p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 xml:space="preserve">Dall SRX, Houston AI, McNamara JM (2004) The behavioural ecology of personality: consistent </w:t>
      </w:r>
      <w:r w:rsidRPr="007A0A87">
        <w:rPr>
          <w:rFonts w:ascii="Calibri" w:hAnsi="Calibri" w:cs="Calibri"/>
          <w:noProof/>
          <w:szCs w:val="24"/>
          <w:lang w:val="en-GB"/>
        </w:rPr>
        <w:lastRenderedPageBreak/>
        <w:t>individual differences from an adaptive perspective. Ecol Lett 7:734–739. doi: 10.1111/j.1461-0248.2004.00618.x</w:t>
      </w:r>
    </w:p>
    <w:p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Dingemanse NJ, Kazem AJN, Reale D, Wright J (2009) Behavioural reaction norms: animal personality meets individual plasticity. Trends Ecol Evol 25:81–89. doi: 10.1016/j.tree.2009.07.013</w:t>
      </w:r>
    </w:p>
    <w:p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Dingemanse NJ, Kazem AJN, Wright J, Biologiques S (2010) Evolutionary and ecological approaches to the study of personality. 3937–3946. doi: 10.1098/rstb.2010.0222</w:t>
      </w:r>
    </w:p>
    <w:p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Dingemanse NJ, Réale D (2005) Natural selection and animal personality. Behaviour 142:1165–1190</w:t>
      </w:r>
    </w:p>
    <w:p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Exnerová A, Svádová KH, Fučíková E, et al (2010) Personality matters: Individual variation in reactions of naive bird predators to aposematic prey. Proc R Soc B Biol Sci 277:723–728. doi: 10.1098/rspb.2009.1673</w:t>
      </w:r>
    </w:p>
    <w:p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Ferrari MCO, Sih A, Chivers DP (2009) The paradox of risk allocation: a review and prospectus. Anim Behav 78:579–585. doi: 10.1016/j.anbehav.2009.05.034</w:t>
      </w:r>
    </w:p>
    <w:p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Gill FB (1988) Trapline foraging by hermit hummingbirds: competition for an undefended, renewable resource. Ecology 69:1933–1942. doi: 10.2307/1941170</w:t>
      </w:r>
    </w:p>
    <w:p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Hadfield JD (2010) MCMCglmm: MCMC Methods for Multi-Response GLMMs in R. J Stat Softw 33:1–22</w:t>
      </w:r>
    </w:p>
    <w:p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Herborn KA, Heidinger BJ, Alexander L, Arnold KE (2014) Personality predicts behavioral flexibility in a fluctuating, natural environment. Behav Ecol 25:1374–1379. doi: 10.1093/beheco/aru131</w:t>
      </w:r>
    </w:p>
    <w:p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Krebs JR (1980) Optimal foraging, predation risk and territory defence. Ardea 68:83–90. doi: 10.5253/arde.v68.p83</w:t>
      </w:r>
    </w:p>
    <w:p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Le Cœur C, Thibault M, Pisanu B, et al (2015) Temporally fluctuating selection on a personality trait in a wild rodent population. Behav Ecol 26:1285–1291. doi: 10.1093/beheco/arv074</w:t>
      </w:r>
    </w:p>
    <w:p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Lima SL, Bednekoff PA (1999) Temporal variation in danger drives antipredator behavior: the predation risk allocation hypothesis. Am Nat 153:649–659. doi: 10.1086/303202</w:t>
      </w:r>
    </w:p>
    <w:p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lastRenderedPageBreak/>
        <w:t>Lorenz S (2007) Carolina mantind (Stagmomantis carolica) captures and feeds on a broad-tailed hummingbird (Selasphorus platycercus). Bull Texas Ornithol Soc 40:1–40</w:t>
      </w:r>
    </w:p>
    <w:p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Meyer R (2016)  Deviance Information Criterion ( DIC ) . Wiley StatsRef Stat Ref Online 1–6. doi: 10.1002/9781118445112.stat07878</w:t>
      </w:r>
    </w:p>
    <w:p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Moldoff DE, Westneat DF (2017) Foraging sparrows exhibit individual differences but not a syndrome when responding to multiple kinds of novelty. Behav Ecol 28:732–743. doi: 10.1093/beheco/arx014</w:t>
      </w:r>
    </w:p>
    <w:p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Montiglio P, Sih A, Mathot KJ, et al (2015) Animal personality and state – behaviour feedbacks: a review and guide for empiricists. Trends Ecol Evol 30:50–60. doi: 10.1016/j.tree.2014.11.004</w:t>
      </w:r>
    </w:p>
    <w:p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Morrison MM, Raplph CJ, Verner J, Jehl JRJ (1990) Avian Foraging: theory, methodology and applications</w:t>
      </w:r>
    </w:p>
    <w:p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Mouchet A, Cole EF, Matthysen E, et al (2021) Heterogeneous selection on exploration behavior within and among West European populations of a passerine bird. Proc Natl Acad Sci U S A 118:1–6. doi: 10.1073/pnas.2024994118</w:t>
      </w:r>
    </w:p>
    <w:p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Nácarová J, Veselý P, Fuchs R (2018) Effect of the exploratory behaviour on a bird’s ability to categorize a predator. Behav Processes 151:89–95. doi: 10.1016/j.beproc.2018.03.021</w:t>
      </w:r>
    </w:p>
    <w:p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Nakagawa S, Schielzeth H (2010) Repeatability for Gaussian and non-Gaussian data: a practical guide for biologists. Biol Rev 85:935–956. doi: 10.1111/j.1469-185X.2010.00141.x</w:t>
      </w:r>
    </w:p>
    <w:p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Nussey DH, Wilson AJ, Brommer JE (2007) The evolutionary ecology of individual phenotypic plasticity in wild populations. J Evol Biol 20:831–844. doi: 10.1111/j.1420-9101.2007.01300.x</w:t>
      </w:r>
    </w:p>
    <w:p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Nyffeler M, Maxwell MR, Remsen J V. (2017) Bird predation by praying mantises: a global perspective. Wilson J Ornithol 129:331–344. doi: 10.1676/16-100.1</w:t>
      </w:r>
    </w:p>
    <w:p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 xml:space="preserve">Ohashi K, Thomson JD (2005) Efficient harvesting of renewing resources. Behav Ecol 16:592–605. doi: </w:t>
      </w:r>
      <w:r w:rsidRPr="007A0A87">
        <w:rPr>
          <w:rFonts w:ascii="Calibri" w:hAnsi="Calibri" w:cs="Calibri"/>
          <w:noProof/>
          <w:szCs w:val="24"/>
          <w:lang w:val="en-GB"/>
        </w:rPr>
        <w:lastRenderedPageBreak/>
        <w:t>10.1093/beheco/ari031</w:t>
      </w:r>
    </w:p>
    <w:p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Owen JL, Cokendolpher JC (2006) Tailless Whipscorpion (Phrynus longipes) feeds on Antillean crested hummingbird (Orthorhyncus cristatus). Wilson J Ornithol 118:422–423. doi: 10.1676/05-062.1</w:t>
      </w:r>
    </w:p>
    <w:p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Pastell M (2016) CowLog – cross-platform application for coding behaviours from video. J. open Res. Softw. 25:1–4</w:t>
      </w:r>
    </w:p>
    <w:p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Patrick SC, Bearhop S, Grémillet D, et al (2014) Individual differences in searching behaviour and spatial foraging consistency in a central place marine predator. Oikos 123:33–40. doi: 10.1111/j.1600-0706.2013.00406.x</w:t>
      </w:r>
    </w:p>
    <w:p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Quinn JL, Cole EF, Bates J, et al (2012a) Personality predicts individual responsiveness to the risks of starvation and predation. Proc R Soc B Biol Sci 279:1919–1926. doi: 10.1098/rspb.2011.2227</w:t>
      </w:r>
    </w:p>
    <w:p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Quinn JL, Cole EF, Bates J, et al (2012b) Personality predicts individual responsiveness to the risks of starvation and predation. Proc R Soc B 279:1919–1926. doi: 10.1098/rspb.2011.2227</w:t>
      </w:r>
    </w:p>
    <w:p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R Core Team (2019) R: A language and environment for statistical computing. R</w:t>
      </w:r>
    </w:p>
    <w:p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Réale D, Reader SM, Sol D, et al (2007) Integrating animal temperament within ecology and evolution. Biol Rev 82:291–318. doi: 10.1111/j.1469-185X.2007.00010.x</w:t>
      </w:r>
    </w:p>
    <w:p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Roth AM, Dingemanse NJ, Nakagawa S, et al (2021) Sexual selection and personality: Individual and group-level effects on mating behaviour in red junglefowl. J Anim Ecol 90:1288–1306. doi: 10.1111/1365-2656.13454</w:t>
      </w:r>
    </w:p>
    <w:p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Sazima I (2015) Lightning predator: the ferruginous pygmy owl snatches flower-visiting hummingbirds in southwestern Brazil. Rev Bras Ornitol 23:12–14</w:t>
      </w:r>
    </w:p>
    <w:p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Sih A, Bell A, Johnson JC (2004) Behavioral syndromes : an ecological and evolutionary overview. Trends Ecol Evol 19:372–378. doi: 10.1016/j.tree.2004.04.009</w:t>
      </w:r>
    </w:p>
    <w:p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 xml:space="preserve">Sih A, McCarthy TM (2002) Prey responses to pulses of risk and safety: Testing the risk allocation </w:t>
      </w:r>
      <w:r w:rsidRPr="007A0A87">
        <w:rPr>
          <w:rFonts w:ascii="Calibri" w:hAnsi="Calibri" w:cs="Calibri"/>
          <w:noProof/>
          <w:szCs w:val="24"/>
          <w:lang w:val="en-GB"/>
        </w:rPr>
        <w:lastRenderedPageBreak/>
        <w:t>hypothesis. Anim Behav 63:437–443. doi: 10.1006/anbe.2001.1921</w:t>
      </w:r>
    </w:p>
    <w:p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Smith BR, Blumstein DT (2008) Fitness consequences of personality: a meta-analysis. Behav Ecol. doi: 10.1093/beheco/arm144</w:t>
      </w:r>
    </w:p>
    <w:p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Stiles FG (1978) Possible specialization for hummingbird-hunting in the Tiny Hawk. Auk 95:550–553</w:t>
      </w:r>
    </w:p>
    <w:p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Stiles FG, Wolf LL (1979) Ecology and evolution of lek mating behavior in the Long-tailed Hermit hummingbird. Ornithol Monogr 27:78. doi: http://dx.doi.org/10.2307/40166760</w:t>
      </w:r>
    </w:p>
    <w:p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Stoffel MA, Nakagawa S, Schielzeth H (2017) rptR: repeatability estimation and variance decomposition by generalized linear mixed-effects models. Methods Ecol Evol 8:1639–1644. doi: 10.1111/2041-210X.12797</w:t>
      </w:r>
    </w:p>
    <w:p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Suarez RK (1992) Hummingbird flight: Sustaining the highest mass-specific metabolic rates among vertebrates. Experientia 48:565–570. doi: 10.1007/BF01920240</w:t>
      </w:r>
    </w:p>
    <w:p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Tello-Ramos MC, Hurly TA, Healy SD (2015) Traplining in hummingbirds: Flying shortdistance sequences among several locations. Behav Ecol 26:812–819. doi: 10.1093/beheco/arv014</w:t>
      </w:r>
    </w:p>
    <w:p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Toscano BJ, Gownaris NJ, Heerhartz SM (2016) Personality , foraging behavior and specialization: integrating behavioral and food web ecology at the individual level. Oecologia. doi: 10.1007/s00442-016-3648-8</w:t>
      </w:r>
    </w:p>
    <w:p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Verdolin JL (2006) Meta-analysis of foraging and predation risk trade-offs in terrestrial systems. Behav Ecol Sociobiol 60:457–464. doi: 10.1007/s00265-006-0172-6</w:t>
      </w:r>
    </w:p>
    <w:p w:rsidR="00022ECD" w:rsidRPr="007A0A87" w:rsidRDefault="00022ECD" w:rsidP="00022ECD">
      <w:pPr>
        <w:widowControl w:val="0"/>
        <w:autoSpaceDE w:val="0"/>
        <w:autoSpaceDN w:val="0"/>
        <w:adjustRightInd w:val="0"/>
        <w:spacing w:line="480" w:lineRule="auto"/>
        <w:ind w:left="480" w:hanging="480"/>
        <w:rPr>
          <w:rFonts w:ascii="Calibri" w:hAnsi="Calibri" w:cs="Calibri"/>
          <w:noProof/>
          <w:lang w:val="en-GB"/>
        </w:rPr>
      </w:pPr>
      <w:r w:rsidRPr="007A0A87">
        <w:rPr>
          <w:rFonts w:ascii="Calibri" w:hAnsi="Calibri" w:cs="Calibri"/>
          <w:noProof/>
          <w:szCs w:val="24"/>
          <w:lang w:val="en-GB"/>
        </w:rPr>
        <w:t>Zenzal TJ, Fish AC, Jones TM, et al (2013) Observations of Predation and Anti-Predator Behavior of Rubythroated Hummingbirds During Migratory Stopover. Southeast Nat 12:N21–N25. doi: 10.1656/058.012.0416</w:t>
      </w:r>
    </w:p>
    <w:p w:rsidR="005939CD" w:rsidRDefault="00C24910">
      <w:pPr>
        <w:widowControl w:val="0"/>
        <w:autoSpaceDE w:val="0"/>
        <w:autoSpaceDN w:val="0"/>
        <w:adjustRightInd w:val="0"/>
        <w:spacing w:line="480" w:lineRule="auto"/>
        <w:jc w:val="both"/>
        <w:rPr>
          <w:rFonts w:cstheme="minorHAnsi"/>
          <w:b/>
          <w:lang w:val="en-GB"/>
        </w:rPr>
        <w:sectPr w:rsidR="005939CD">
          <w:footerReference w:type="default" r:id="rId8"/>
          <w:pgSz w:w="11906" w:h="16838"/>
          <w:pgMar w:top="1417" w:right="1274" w:bottom="1417" w:left="1417" w:header="708" w:footer="708" w:gutter="0"/>
          <w:lnNumType w:countBy="1" w:restart="continuous"/>
          <w:cols w:space="708"/>
          <w:docGrid w:linePitch="360"/>
        </w:sectPr>
      </w:pPr>
      <w:r>
        <w:rPr>
          <w:rFonts w:cstheme="minorHAnsi"/>
          <w:b/>
          <w:lang w:val="en-GB"/>
        </w:rPr>
        <w:fldChar w:fldCharType="end"/>
      </w:r>
    </w:p>
    <w:p w:rsidR="005939CD" w:rsidRDefault="00C24910">
      <w:pPr>
        <w:widowControl w:val="0"/>
        <w:autoSpaceDE w:val="0"/>
        <w:autoSpaceDN w:val="0"/>
        <w:adjustRightInd w:val="0"/>
        <w:spacing w:line="480" w:lineRule="auto"/>
        <w:jc w:val="both"/>
        <w:rPr>
          <w:rFonts w:cstheme="minorHAnsi"/>
          <w:lang w:val="en-GB"/>
        </w:rPr>
      </w:pPr>
      <w:r>
        <w:rPr>
          <w:rFonts w:cstheme="minorHAnsi"/>
          <w:b/>
          <w:lang w:val="en-GB"/>
        </w:rPr>
        <w:lastRenderedPageBreak/>
        <w:t>Table 1</w:t>
      </w:r>
      <w:r>
        <w:rPr>
          <w:rFonts w:cstheme="minorHAnsi"/>
          <w:lang w:val="en-GB"/>
        </w:rPr>
        <w:t xml:space="preserve">. Ranking of models explaining foraging efficiency of long-billed hermits, </w:t>
      </w:r>
      <w:r>
        <w:rPr>
          <w:rFonts w:eastAsia="Times New Roman" w:cstheme="minorHAnsi"/>
          <w:lang w:val="en-GB" w:eastAsia="pl-PL"/>
        </w:rPr>
        <w:t xml:space="preserve">ordered by delta </w:t>
      </w:r>
      <w:r>
        <w:rPr>
          <w:rFonts w:cstheme="minorHAnsi"/>
          <w:lang w:val="en-GB"/>
        </w:rPr>
        <w:t>Deviance Information Criterion (DIC; Akaike’s Information Criterion AIC yields to same conclusions).</w:t>
      </w:r>
    </w:p>
    <w:tbl>
      <w:tblPr>
        <w:tblStyle w:val="Tabelasiatki1jasna1"/>
        <w:tblW w:w="11614" w:type="dxa"/>
        <w:tblLayout w:type="fixed"/>
        <w:tblLook w:val="04A0" w:firstRow="1" w:lastRow="0" w:firstColumn="1" w:lastColumn="0" w:noHBand="0" w:noVBand="1"/>
      </w:tblPr>
      <w:tblGrid>
        <w:gridCol w:w="3690"/>
        <w:gridCol w:w="457"/>
        <w:gridCol w:w="1316"/>
        <w:gridCol w:w="876"/>
        <w:gridCol w:w="1516"/>
        <w:gridCol w:w="1316"/>
        <w:gridCol w:w="927"/>
        <w:gridCol w:w="1516"/>
      </w:tblGrid>
      <w:tr w:rsidR="005939CD" w:rsidTr="00593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shd w:val="clear" w:color="auto" w:fill="D0CECE" w:themeFill="background2" w:themeFillShade="E6"/>
          </w:tcPr>
          <w:p w:rsidR="005939CD" w:rsidRDefault="00C24910">
            <w:pPr>
              <w:spacing w:after="0" w:line="240" w:lineRule="auto"/>
              <w:rPr>
                <w:rFonts w:eastAsia="Times New Roman" w:cstheme="minorHAnsi"/>
                <w:bCs w:val="0"/>
                <w:lang w:eastAsia="pl-PL"/>
              </w:rPr>
            </w:pPr>
            <w:r>
              <w:rPr>
                <w:rFonts w:eastAsia="Times New Roman" w:cstheme="minorHAnsi"/>
                <w:bCs w:val="0"/>
                <w:lang w:eastAsia="pl-PL"/>
              </w:rPr>
              <w:t xml:space="preserve">Predictors </w:t>
            </w:r>
          </w:p>
        </w:tc>
        <w:tc>
          <w:tcPr>
            <w:tcW w:w="457" w:type="dxa"/>
            <w:shd w:val="clear" w:color="auto" w:fill="D0CECE" w:themeFill="background2" w:themeFillShade="E6"/>
          </w:tcPr>
          <w:p w:rsidR="005939CD" w:rsidRDefault="00C2491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pl-PL"/>
              </w:rPr>
            </w:pPr>
            <w:r>
              <w:rPr>
                <w:rFonts w:eastAsia="Times New Roman" w:cstheme="minorHAnsi"/>
                <w:bCs w:val="0"/>
                <w:lang w:eastAsia="pl-PL"/>
              </w:rPr>
              <w:t>df</w:t>
            </w:r>
          </w:p>
        </w:tc>
        <w:tc>
          <w:tcPr>
            <w:tcW w:w="1316" w:type="dxa"/>
            <w:shd w:val="clear" w:color="auto" w:fill="D0CECE" w:themeFill="background2" w:themeFillShade="E6"/>
          </w:tcPr>
          <w:p w:rsidR="005939CD" w:rsidRDefault="00C2491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pl-PL"/>
              </w:rPr>
            </w:pPr>
            <w:r>
              <w:rPr>
                <w:rFonts w:eastAsia="Times New Roman" w:cstheme="minorHAnsi"/>
                <w:bCs w:val="0"/>
                <w:lang w:eastAsia="pl-PL"/>
              </w:rPr>
              <w:t>DIC</w:t>
            </w:r>
          </w:p>
        </w:tc>
        <w:tc>
          <w:tcPr>
            <w:tcW w:w="876" w:type="dxa"/>
            <w:shd w:val="clear" w:color="auto" w:fill="D0CECE" w:themeFill="background2" w:themeFillShade="E6"/>
          </w:tcPr>
          <w:p w:rsidR="005939CD" w:rsidRDefault="00C2491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pl-PL"/>
              </w:rPr>
            </w:pPr>
            <w:r>
              <w:rPr>
                <w:rFonts w:cstheme="minorHAnsi"/>
                <w:lang w:val="en-GB"/>
              </w:rPr>
              <w:t>Δ</w:t>
            </w:r>
            <w:r>
              <w:rPr>
                <w:rFonts w:eastAsia="Times New Roman" w:cstheme="minorHAnsi"/>
                <w:bCs w:val="0"/>
                <w:lang w:eastAsia="pl-PL"/>
              </w:rPr>
              <w:t>DIC</w:t>
            </w:r>
          </w:p>
        </w:tc>
        <w:tc>
          <w:tcPr>
            <w:tcW w:w="1516" w:type="dxa"/>
            <w:shd w:val="clear" w:color="auto" w:fill="D0CECE" w:themeFill="background2" w:themeFillShade="E6"/>
          </w:tcPr>
          <w:p w:rsidR="005939CD" w:rsidRDefault="00C2491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pl-PL"/>
              </w:rPr>
            </w:pPr>
            <w:r>
              <w:rPr>
                <w:rFonts w:eastAsia="Times New Roman" w:cstheme="minorHAnsi"/>
                <w:bCs w:val="0"/>
                <w:lang w:eastAsia="pl-PL"/>
              </w:rPr>
              <w:t>weight DIC</w:t>
            </w:r>
          </w:p>
        </w:tc>
        <w:tc>
          <w:tcPr>
            <w:tcW w:w="1316" w:type="dxa"/>
            <w:shd w:val="clear" w:color="auto" w:fill="D0CECE" w:themeFill="background2" w:themeFillShade="E6"/>
          </w:tcPr>
          <w:p w:rsidR="005939CD" w:rsidRDefault="00C2491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pl-PL"/>
              </w:rPr>
            </w:pPr>
            <w:r>
              <w:rPr>
                <w:rFonts w:eastAsia="Times New Roman" w:cstheme="minorHAnsi"/>
                <w:bCs w:val="0"/>
                <w:lang w:eastAsia="pl-PL"/>
              </w:rPr>
              <w:t>AIC</w:t>
            </w:r>
          </w:p>
        </w:tc>
        <w:tc>
          <w:tcPr>
            <w:tcW w:w="927" w:type="dxa"/>
            <w:shd w:val="clear" w:color="auto" w:fill="D0CECE" w:themeFill="background2" w:themeFillShade="E6"/>
          </w:tcPr>
          <w:p w:rsidR="005939CD" w:rsidRDefault="00C2491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pl-PL"/>
              </w:rPr>
            </w:pPr>
            <w:r>
              <w:rPr>
                <w:rFonts w:cstheme="minorHAnsi"/>
                <w:lang w:val="en-GB"/>
              </w:rPr>
              <w:t>Δ</w:t>
            </w:r>
            <w:r>
              <w:rPr>
                <w:rFonts w:eastAsia="Times New Roman" w:cstheme="minorHAnsi"/>
                <w:bCs w:val="0"/>
                <w:lang w:eastAsia="pl-PL"/>
              </w:rPr>
              <w:t>AIC</w:t>
            </w:r>
          </w:p>
        </w:tc>
        <w:tc>
          <w:tcPr>
            <w:tcW w:w="1516" w:type="dxa"/>
            <w:shd w:val="clear" w:color="auto" w:fill="D0CECE" w:themeFill="background2" w:themeFillShade="E6"/>
          </w:tcPr>
          <w:p w:rsidR="005939CD" w:rsidRDefault="00C2491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pl-PL"/>
              </w:rPr>
            </w:pPr>
            <w:r>
              <w:rPr>
                <w:rFonts w:eastAsia="Times New Roman" w:cstheme="minorHAnsi"/>
                <w:bCs w:val="0"/>
                <w:lang w:eastAsia="pl-PL"/>
              </w:rPr>
              <w:t>weight AIC</w:t>
            </w:r>
          </w:p>
        </w:tc>
      </w:tr>
      <w:tr w:rsidR="005939CD" w:rsidTr="005939CD">
        <w:tc>
          <w:tcPr>
            <w:cnfStyle w:val="001000000000" w:firstRow="0" w:lastRow="0" w:firstColumn="1" w:lastColumn="0" w:oddVBand="0" w:evenVBand="0" w:oddHBand="0" w:evenHBand="0" w:firstRowFirstColumn="0" w:firstRowLastColumn="0" w:lastRowFirstColumn="0" w:lastRowLastColumn="0"/>
            <w:tcW w:w="3690" w:type="dxa"/>
          </w:tcPr>
          <w:p w:rsidR="005939CD" w:rsidRDefault="00C24910">
            <w:pPr>
              <w:spacing w:after="0" w:line="240" w:lineRule="auto"/>
              <w:rPr>
                <w:rFonts w:eastAsia="Times New Roman" w:cstheme="minorHAnsi"/>
                <w:lang w:eastAsia="pl-PL"/>
              </w:rPr>
            </w:pPr>
            <w:r>
              <w:rPr>
                <w:rFonts w:eastAsia="Times New Roman" w:cstheme="minorHAnsi"/>
                <w:lang w:eastAsia="pl-PL"/>
              </w:rPr>
              <w:t xml:space="preserve">md_all_interactions </w:t>
            </w:r>
          </w:p>
        </w:tc>
        <w:tc>
          <w:tcPr>
            <w:tcW w:w="457"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10</w:t>
            </w:r>
          </w:p>
        </w:tc>
        <w:tc>
          <w:tcPr>
            <w:tcW w:w="131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-400.0909</w:t>
            </w:r>
          </w:p>
        </w:tc>
        <w:tc>
          <w:tcPr>
            <w:tcW w:w="87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w:t>
            </w:r>
          </w:p>
        </w:tc>
        <w:tc>
          <w:tcPr>
            <w:tcW w:w="151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1</w:t>
            </w:r>
          </w:p>
        </w:tc>
        <w:tc>
          <w:tcPr>
            <w:tcW w:w="131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-396.3073</w:t>
            </w:r>
          </w:p>
        </w:tc>
        <w:tc>
          <w:tcPr>
            <w:tcW w:w="927"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w:t>
            </w:r>
          </w:p>
        </w:tc>
        <w:tc>
          <w:tcPr>
            <w:tcW w:w="151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0.99</w:t>
            </w:r>
          </w:p>
        </w:tc>
      </w:tr>
      <w:tr w:rsidR="005939CD" w:rsidTr="005939CD">
        <w:tc>
          <w:tcPr>
            <w:cnfStyle w:val="001000000000" w:firstRow="0" w:lastRow="0" w:firstColumn="1" w:lastColumn="0" w:oddVBand="0" w:evenVBand="0" w:oddHBand="0" w:evenHBand="0" w:firstRowFirstColumn="0" w:firstRowLastColumn="0" w:lastRowFirstColumn="0" w:lastRowLastColumn="0"/>
            <w:tcW w:w="3690" w:type="dxa"/>
          </w:tcPr>
          <w:p w:rsidR="005939CD" w:rsidRDefault="00C24910">
            <w:pPr>
              <w:spacing w:after="0" w:line="240" w:lineRule="auto"/>
              <w:rPr>
                <w:rFonts w:eastAsia="Times New Roman" w:cstheme="minorHAnsi"/>
                <w:b w:val="0"/>
                <w:lang w:eastAsia="pl-PL"/>
              </w:rPr>
            </w:pPr>
            <w:r>
              <w:rPr>
                <w:rFonts w:eastAsia="Times New Roman" w:cstheme="minorHAnsi"/>
                <w:b w:val="0"/>
                <w:lang w:eastAsia="pl-PL"/>
              </w:rPr>
              <w:t xml:space="preserve">md_arousal_exploration </w:t>
            </w:r>
          </w:p>
        </w:tc>
        <w:tc>
          <w:tcPr>
            <w:tcW w:w="457"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8</w:t>
            </w:r>
          </w:p>
        </w:tc>
        <w:tc>
          <w:tcPr>
            <w:tcW w:w="131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-388.2385</w:t>
            </w:r>
          </w:p>
        </w:tc>
        <w:tc>
          <w:tcPr>
            <w:tcW w:w="87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11.85</w:t>
            </w:r>
          </w:p>
        </w:tc>
        <w:tc>
          <w:tcPr>
            <w:tcW w:w="151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w:t>
            </w:r>
          </w:p>
        </w:tc>
        <w:tc>
          <w:tcPr>
            <w:tcW w:w="131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-386.2831</w:t>
            </w:r>
          </w:p>
        </w:tc>
        <w:tc>
          <w:tcPr>
            <w:tcW w:w="927"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10.02</w:t>
            </w:r>
          </w:p>
        </w:tc>
        <w:tc>
          <w:tcPr>
            <w:tcW w:w="151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0.01</w:t>
            </w:r>
          </w:p>
        </w:tc>
      </w:tr>
      <w:tr w:rsidR="005939CD" w:rsidTr="005939CD">
        <w:tc>
          <w:tcPr>
            <w:cnfStyle w:val="001000000000" w:firstRow="0" w:lastRow="0" w:firstColumn="1" w:lastColumn="0" w:oddVBand="0" w:evenVBand="0" w:oddHBand="0" w:evenHBand="0" w:firstRowFirstColumn="0" w:firstRowLastColumn="0" w:lastRowFirstColumn="0" w:lastRowLastColumn="0"/>
            <w:tcW w:w="3690" w:type="dxa"/>
          </w:tcPr>
          <w:p w:rsidR="005939CD" w:rsidRDefault="00C24910">
            <w:pPr>
              <w:spacing w:after="0" w:line="240" w:lineRule="auto"/>
              <w:rPr>
                <w:rFonts w:eastAsia="Times New Roman" w:cstheme="minorHAnsi"/>
                <w:b w:val="0"/>
                <w:lang w:eastAsia="pl-PL"/>
              </w:rPr>
            </w:pPr>
            <w:r>
              <w:rPr>
                <w:rFonts w:eastAsia="Times New Roman" w:cstheme="minorHAnsi"/>
                <w:b w:val="0"/>
                <w:lang w:eastAsia="pl-PL"/>
              </w:rPr>
              <w:t xml:space="preserve">md_arousal_risk_avoidance </w:t>
            </w:r>
          </w:p>
        </w:tc>
        <w:tc>
          <w:tcPr>
            <w:tcW w:w="457"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8</w:t>
            </w:r>
          </w:p>
        </w:tc>
        <w:tc>
          <w:tcPr>
            <w:tcW w:w="131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-378.9807</w:t>
            </w:r>
          </w:p>
        </w:tc>
        <w:tc>
          <w:tcPr>
            <w:tcW w:w="87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21.11</w:t>
            </w:r>
          </w:p>
        </w:tc>
        <w:tc>
          <w:tcPr>
            <w:tcW w:w="151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w:t>
            </w:r>
          </w:p>
        </w:tc>
        <w:tc>
          <w:tcPr>
            <w:tcW w:w="131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-376.8184</w:t>
            </w:r>
          </w:p>
        </w:tc>
        <w:tc>
          <w:tcPr>
            <w:tcW w:w="927"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19.49</w:t>
            </w:r>
          </w:p>
        </w:tc>
        <w:tc>
          <w:tcPr>
            <w:tcW w:w="151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w:t>
            </w:r>
          </w:p>
        </w:tc>
      </w:tr>
      <w:tr w:rsidR="005939CD" w:rsidTr="005939CD">
        <w:tc>
          <w:tcPr>
            <w:cnfStyle w:val="001000000000" w:firstRow="0" w:lastRow="0" w:firstColumn="1" w:lastColumn="0" w:oddVBand="0" w:evenVBand="0" w:oddHBand="0" w:evenHBand="0" w:firstRowFirstColumn="0" w:firstRowLastColumn="0" w:lastRowFirstColumn="0" w:lastRowLastColumn="0"/>
            <w:tcW w:w="3690" w:type="dxa"/>
          </w:tcPr>
          <w:p w:rsidR="005939CD" w:rsidRDefault="00C24910">
            <w:pPr>
              <w:spacing w:after="0" w:line="240" w:lineRule="auto"/>
              <w:rPr>
                <w:rFonts w:eastAsia="Times New Roman" w:cstheme="minorHAnsi"/>
                <w:b w:val="0"/>
                <w:lang w:eastAsia="pl-PL"/>
              </w:rPr>
            </w:pPr>
            <w:r>
              <w:rPr>
                <w:rFonts w:eastAsia="Times New Roman" w:cstheme="minorHAnsi"/>
                <w:b w:val="0"/>
                <w:lang w:eastAsia="pl-PL"/>
              </w:rPr>
              <w:t xml:space="preserve">md_arousal </w:t>
            </w:r>
          </w:p>
        </w:tc>
        <w:tc>
          <w:tcPr>
            <w:tcW w:w="457"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6</w:t>
            </w:r>
          </w:p>
        </w:tc>
        <w:tc>
          <w:tcPr>
            <w:tcW w:w="131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-363.3410</w:t>
            </w:r>
          </w:p>
        </w:tc>
        <w:tc>
          <w:tcPr>
            <w:tcW w:w="87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36.75</w:t>
            </w:r>
          </w:p>
        </w:tc>
        <w:tc>
          <w:tcPr>
            <w:tcW w:w="151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w:t>
            </w:r>
          </w:p>
        </w:tc>
        <w:tc>
          <w:tcPr>
            <w:tcW w:w="131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-363.2509</w:t>
            </w:r>
          </w:p>
        </w:tc>
        <w:tc>
          <w:tcPr>
            <w:tcW w:w="927"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33.06</w:t>
            </w:r>
          </w:p>
        </w:tc>
        <w:tc>
          <w:tcPr>
            <w:tcW w:w="151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w:t>
            </w:r>
          </w:p>
        </w:tc>
      </w:tr>
      <w:tr w:rsidR="005939CD" w:rsidTr="005939CD">
        <w:tc>
          <w:tcPr>
            <w:cnfStyle w:val="001000000000" w:firstRow="0" w:lastRow="0" w:firstColumn="1" w:lastColumn="0" w:oddVBand="0" w:evenVBand="0" w:oddHBand="0" w:evenHBand="0" w:firstRowFirstColumn="0" w:firstRowLastColumn="0" w:lastRowFirstColumn="0" w:lastRowLastColumn="0"/>
            <w:tcW w:w="3690" w:type="dxa"/>
          </w:tcPr>
          <w:p w:rsidR="005939CD" w:rsidRDefault="00C24910">
            <w:pPr>
              <w:spacing w:after="0" w:line="240" w:lineRule="auto"/>
              <w:rPr>
                <w:rFonts w:eastAsia="Times New Roman" w:cstheme="minorHAnsi"/>
                <w:b w:val="0"/>
                <w:lang w:eastAsia="pl-PL"/>
              </w:rPr>
            </w:pPr>
            <w:r>
              <w:rPr>
                <w:rFonts w:eastAsia="Times New Roman" w:cstheme="minorHAnsi"/>
                <w:b w:val="0"/>
                <w:lang w:eastAsia="pl-PL"/>
              </w:rPr>
              <w:t xml:space="preserve">md_risk_avoidance_exploration </w:t>
            </w:r>
          </w:p>
        </w:tc>
        <w:tc>
          <w:tcPr>
            <w:tcW w:w="457"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8</w:t>
            </w:r>
          </w:p>
        </w:tc>
        <w:tc>
          <w:tcPr>
            <w:tcW w:w="131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-350.1568</w:t>
            </w:r>
          </w:p>
        </w:tc>
        <w:tc>
          <w:tcPr>
            <w:tcW w:w="87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49.93</w:t>
            </w:r>
          </w:p>
        </w:tc>
        <w:tc>
          <w:tcPr>
            <w:tcW w:w="151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w:t>
            </w:r>
          </w:p>
        </w:tc>
        <w:tc>
          <w:tcPr>
            <w:tcW w:w="131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-348.8140</w:t>
            </w:r>
          </w:p>
        </w:tc>
        <w:tc>
          <w:tcPr>
            <w:tcW w:w="927"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47.49</w:t>
            </w:r>
          </w:p>
        </w:tc>
        <w:tc>
          <w:tcPr>
            <w:tcW w:w="151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w:t>
            </w:r>
          </w:p>
        </w:tc>
      </w:tr>
      <w:tr w:rsidR="005939CD" w:rsidTr="005939CD">
        <w:tc>
          <w:tcPr>
            <w:cnfStyle w:val="001000000000" w:firstRow="0" w:lastRow="0" w:firstColumn="1" w:lastColumn="0" w:oddVBand="0" w:evenVBand="0" w:oddHBand="0" w:evenHBand="0" w:firstRowFirstColumn="0" w:firstRowLastColumn="0" w:lastRowFirstColumn="0" w:lastRowLastColumn="0"/>
            <w:tcW w:w="3690" w:type="dxa"/>
          </w:tcPr>
          <w:p w:rsidR="005939CD" w:rsidRDefault="00C24910">
            <w:pPr>
              <w:spacing w:after="0" w:line="240" w:lineRule="auto"/>
              <w:rPr>
                <w:rFonts w:eastAsia="Times New Roman" w:cstheme="minorHAnsi"/>
                <w:b w:val="0"/>
                <w:lang w:eastAsia="pl-PL"/>
              </w:rPr>
            </w:pPr>
            <w:r>
              <w:rPr>
                <w:rFonts w:eastAsia="Times New Roman" w:cstheme="minorHAnsi"/>
                <w:b w:val="0"/>
                <w:lang w:eastAsia="pl-PL"/>
              </w:rPr>
              <w:t xml:space="preserve">md_exploration </w:t>
            </w:r>
          </w:p>
        </w:tc>
        <w:tc>
          <w:tcPr>
            <w:tcW w:w="457"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6</w:t>
            </w:r>
          </w:p>
        </w:tc>
        <w:tc>
          <w:tcPr>
            <w:tcW w:w="131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-345.7716</w:t>
            </w:r>
          </w:p>
        </w:tc>
        <w:tc>
          <w:tcPr>
            <w:tcW w:w="87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54.32</w:t>
            </w:r>
          </w:p>
        </w:tc>
        <w:tc>
          <w:tcPr>
            <w:tcW w:w="151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w:t>
            </w:r>
          </w:p>
        </w:tc>
        <w:tc>
          <w:tcPr>
            <w:tcW w:w="131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-346.4065</w:t>
            </w:r>
          </w:p>
        </w:tc>
        <w:tc>
          <w:tcPr>
            <w:tcW w:w="927"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49.90</w:t>
            </w:r>
          </w:p>
        </w:tc>
        <w:tc>
          <w:tcPr>
            <w:tcW w:w="151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w:t>
            </w:r>
          </w:p>
        </w:tc>
      </w:tr>
      <w:tr w:rsidR="005939CD" w:rsidTr="005939CD">
        <w:tc>
          <w:tcPr>
            <w:cnfStyle w:val="001000000000" w:firstRow="0" w:lastRow="0" w:firstColumn="1" w:lastColumn="0" w:oddVBand="0" w:evenVBand="0" w:oddHBand="0" w:evenHBand="0" w:firstRowFirstColumn="0" w:firstRowLastColumn="0" w:lastRowFirstColumn="0" w:lastRowLastColumn="0"/>
            <w:tcW w:w="3690" w:type="dxa"/>
          </w:tcPr>
          <w:p w:rsidR="005939CD" w:rsidRDefault="00C24910">
            <w:pPr>
              <w:spacing w:after="0" w:line="240" w:lineRule="auto"/>
              <w:rPr>
                <w:rFonts w:eastAsia="Times New Roman" w:cstheme="minorHAnsi"/>
                <w:b w:val="0"/>
                <w:lang w:eastAsia="pl-PL"/>
              </w:rPr>
            </w:pPr>
            <w:r>
              <w:rPr>
                <w:rFonts w:eastAsia="Times New Roman" w:cstheme="minorHAnsi"/>
                <w:b w:val="0"/>
                <w:lang w:eastAsia="pl-PL"/>
              </w:rPr>
              <w:t xml:space="preserve">md_risk_avoidance </w:t>
            </w:r>
          </w:p>
        </w:tc>
        <w:tc>
          <w:tcPr>
            <w:tcW w:w="457"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6</w:t>
            </w:r>
          </w:p>
        </w:tc>
        <w:tc>
          <w:tcPr>
            <w:tcW w:w="131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-315.2258</w:t>
            </w:r>
          </w:p>
        </w:tc>
        <w:tc>
          <w:tcPr>
            <w:tcW w:w="87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84.87</w:t>
            </w:r>
          </w:p>
        </w:tc>
        <w:tc>
          <w:tcPr>
            <w:tcW w:w="151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w:t>
            </w:r>
          </w:p>
        </w:tc>
        <w:tc>
          <w:tcPr>
            <w:tcW w:w="131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-315.0929</w:t>
            </w:r>
          </w:p>
        </w:tc>
        <w:tc>
          <w:tcPr>
            <w:tcW w:w="927"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81.21</w:t>
            </w:r>
          </w:p>
        </w:tc>
        <w:tc>
          <w:tcPr>
            <w:tcW w:w="151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w:t>
            </w:r>
          </w:p>
        </w:tc>
      </w:tr>
      <w:tr w:rsidR="005939CD" w:rsidTr="005939CD">
        <w:tc>
          <w:tcPr>
            <w:cnfStyle w:val="001000000000" w:firstRow="0" w:lastRow="0" w:firstColumn="1" w:lastColumn="0" w:oddVBand="0" w:evenVBand="0" w:oddHBand="0" w:evenHBand="0" w:firstRowFirstColumn="0" w:firstRowLastColumn="0" w:lastRowFirstColumn="0" w:lastRowLastColumn="0"/>
            <w:tcW w:w="3690" w:type="dxa"/>
          </w:tcPr>
          <w:p w:rsidR="005939CD" w:rsidRDefault="00C24910">
            <w:pPr>
              <w:spacing w:after="0" w:line="240" w:lineRule="auto"/>
              <w:rPr>
                <w:rFonts w:eastAsia="Times New Roman" w:cstheme="minorHAnsi"/>
                <w:b w:val="0"/>
                <w:lang w:eastAsia="pl-PL"/>
              </w:rPr>
            </w:pPr>
            <w:r>
              <w:rPr>
                <w:rFonts w:eastAsia="Times New Roman" w:cstheme="minorHAnsi"/>
                <w:b w:val="0"/>
                <w:lang w:eastAsia="pl-PL"/>
              </w:rPr>
              <w:t xml:space="preserve">md_context </w:t>
            </w:r>
          </w:p>
        </w:tc>
        <w:tc>
          <w:tcPr>
            <w:tcW w:w="457"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4</w:t>
            </w:r>
          </w:p>
        </w:tc>
        <w:tc>
          <w:tcPr>
            <w:tcW w:w="131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-308.6036</w:t>
            </w:r>
          </w:p>
        </w:tc>
        <w:tc>
          <w:tcPr>
            <w:tcW w:w="87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91.49</w:t>
            </w:r>
          </w:p>
        </w:tc>
        <w:tc>
          <w:tcPr>
            <w:tcW w:w="151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w:t>
            </w:r>
          </w:p>
        </w:tc>
        <w:tc>
          <w:tcPr>
            <w:tcW w:w="131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-310.7995</w:t>
            </w:r>
          </w:p>
        </w:tc>
        <w:tc>
          <w:tcPr>
            <w:tcW w:w="927"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85.51</w:t>
            </w:r>
          </w:p>
        </w:tc>
        <w:tc>
          <w:tcPr>
            <w:tcW w:w="151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w:t>
            </w:r>
          </w:p>
        </w:tc>
      </w:tr>
      <w:tr w:rsidR="005939CD" w:rsidTr="005939CD">
        <w:tc>
          <w:tcPr>
            <w:cnfStyle w:val="001000000000" w:firstRow="0" w:lastRow="0" w:firstColumn="1" w:lastColumn="0" w:oddVBand="0" w:evenVBand="0" w:oddHBand="0" w:evenHBand="0" w:firstRowFirstColumn="0" w:firstRowLastColumn="0" w:lastRowFirstColumn="0" w:lastRowLastColumn="0"/>
            <w:tcW w:w="3690" w:type="dxa"/>
          </w:tcPr>
          <w:p w:rsidR="005939CD" w:rsidRDefault="00C24910">
            <w:pPr>
              <w:spacing w:after="0" w:line="240" w:lineRule="auto"/>
              <w:rPr>
                <w:rFonts w:eastAsia="Times New Roman" w:cstheme="minorHAnsi"/>
                <w:b w:val="0"/>
                <w:lang w:eastAsia="pl-PL"/>
              </w:rPr>
            </w:pPr>
            <w:r>
              <w:rPr>
                <w:rFonts w:eastAsia="Times New Roman" w:cstheme="minorHAnsi"/>
                <w:b w:val="0"/>
                <w:lang w:eastAsia="pl-PL"/>
              </w:rPr>
              <w:t xml:space="preserve">md_null </w:t>
            </w:r>
          </w:p>
        </w:tc>
        <w:tc>
          <w:tcPr>
            <w:tcW w:w="457"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w:t>
            </w:r>
          </w:p>
        </w:tc>
        <w:tc>
          <w:tcPr>
            <w:tcW w:w="131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-296.3098</w:t>
            </w:r>
          </w:p>
        </w:tc>
        <w:tc>
          <w:tcPr>
            <w:tcW w:w="87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103.78</w:t>
            </w:r>
          </w:p>
        </w:tc>
        <w:tc>
          <w:tcPr>
            <w:tcW w:w="151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w:t>
            </w:r>
          </w:p>
        </w:tc>
        <w:tc>
          <w:tcPr>
            <w:tcW w:w="131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-299.8347</w:t>
            </w:r>
          </w:p>
        </w:tc>
        <w:tc>
          <w:tcPr>
            <w:tcW w:w="927"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96.47</w:t>
            </w:r>
          </w:p>
        </w:tc>
        <w:tc>
          <w:tcPr>
            <w:tcW w:w="151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w:t>
            </w:r>
          </w:p>
        </w:tc>
      </w:tr>
    </w:tbl>
    <w:p w:rsidR="005939CD" w:rsidRDefault="005939CD">
      <w:pPr>
        <w:spacing w:line="480" w:lineRule="auto"/>
        <w:jc w:val="both"/>
        <w:rPr>
          <w:rFonts w:cstheme="minorHAnsi"/>
          <w:b/>
          <w:lang w:val="en-GB"/>
        </w:rPr>
      </w:pPr>
    </w:p>
    <w:p w:rsidR="005939CD" w:rsidRDefault="005939CD">
      <w:pPr>
        <w:spacing w:line="480" w:lineRule="auto"/>
        <w:jc w:val="both"/>
        <w:rPr>
          <w:rFonts w:cstheme="minorHAnsi"/>
          <w:b/>
          <w:lang w:val="en-GB"/>
        </w:rPr>
        <w:sectPr w:rsidR="005939CD">
          <w:pgSz w:w="16838" w:h="11906" w:orient="landscape"/>
          <w:pgMar w:top="1417" w:right="1417" w:bottom="1274" w:left="1417" w:header="708" w:footer="708" w:gutter="0"/>
          <w:lnNumType w:countBy="1" w:restart="continuous"/>
          <w:cols w:space="708"/>
          <w:docGrid w:linePitch="360"/>
        </w:sectPr>
      </w:pPr>
    </w:p>
    <w:p w:rsidR="005939CD" w:rsidRDefault="00C24910">
      <w:pPr>
        <w:spacing w:line="480" w:lineRule="auto"/>
        <w:jc w:val="both"/>
        <w:rPr>
          <w:rFonts w:cstheme="minorHAnsi"/>
          <w:b/>
          <w:lang w:val="en-GB"/>
        </w:rPr>
      </w:pPr>
      <w:r>
        <w:rPr>
          <w:rFonts w:cstheme="minorHAnsi"/>
          <w:b/>
          <w:lang w:val="en-GB"/>
        </w:rPr>
        <w:lastRenderedPageBreak/>
        <w:t xml:space="preserve">Table 2. </w:t>
      </w:r>
      <w:r>
        <w:rPr>
          <w:rFonts w:cstheme="minorHAnsi"/>
          <w:lang w:val="en-GB"/>
        </w:rPr>
        <w:t>Effects of behavioural variables and experimental context (low/high risk) on foraging efficiency of long-billed hermits. Effects are slope estimates derived from the fist top Bayesian MCMC generalized linear model (Table 1).</w:t>
      </w:r>
    </w:p>
    <w:tbl>
      <w:tblPr>
        <w:tblStyle w:val="Tabelasiatki1jasna1"/>
        <w:tblW w:w="11786" w:type="dxa"/>
        <w:tblLayout w:type="fixed"/>
        <w:tblLook w:val="04A0" w:firstRow="1" w:lastRow="0" w:firstColumn="1" w:lastColumn="0" w:noHBand="0" w:noVBand="1"/>
      </w:tblPr>
      <w:tblGrid>
        <w:gridCol w:w="3736"/>
        <w:gridCol w:w="1356"/>
        <w:gridCol w:w="1106"/>
        <w:gridCol w:w="1230"/>
        <w:gridCol w:w="1203"/>
        <w:gridCol w:w="1256"/>
        <w:gridCol w:w="996"/>
        <w:gridCol w:w="903"/>
      </w:tblGrid>
      <w:tr w:rsidR="005939CD" w:rsidTr="00593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6" w:type="dxa"/>
            <w:shd w:val="clear" w:color="auto" w:fill="D0CECE" w:themeFill="background2" w:themeFillShade="E6"/>
          </w:tcPr>
          <w:p w:rsidR="005939CD" w:rsidRDefault="00C24910">
            <w:pPr>
              <w:spacing w:after="0" w:line="240" w:lineRule="auto"/>
              <w:rPr>
                <w:rFonts w:eastAsia="Times New Roman" w:cstheme="minorHAnsi"/>
                <w:bCs w:val="0"/>
                <w:lang w:val="en-GB" w:eastAsia="pl-PL"/>
              </w:rPr>
            </w:pPr>
            <w:r>
              <w:rPr>
                <w:rFonts w:eastAsia="Times New Roman" w:cstheme="minorHAnsi"/>
                <w:bCs w:val="0"/>
                <w:lang w:val="en-GB" w:eastAsia="pl-PL"/>
              </w:rPr>
              <w:t xml:space="preserve">Predictor </w:t>
            </w:r>
          </w:p>
        </w:tc>
        <w:tc>
          <w:tcPr>
            <w:tcW w:w="1356" w:type="dxa"/>
            <w:shd w:val="clear" w:color="auto" w:fill="D0CECE" w:themeFill="background2" w:themeFillShade="E6"/>
          </w:tcPr>
          <w:p w:rsidR="005939CD" w:rsidRDefault="00C2491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val="en-GB" w:eastAsia="pl-PL"/>
              </w:rPr>
            </w:pPr>
            <w:r>
              <w:rPr>
                <w:rFonts w:eastAsia="Times New Roman" w:cstheme="minorHAnsi"/>
                <w:bCs w:val="0"/>
                <w:lang w:val="en-GB" w:eastAsia="pl-PL"/>
              </w:rPr>
              <w:t>Effect size</w:t>
            </w:r>
          </w:p>
        </w:tc>
        <w:tc>
          <w:tcPr>
            <w:tcW w:w="1106" w:type="dxa"/>
            <w:shd w:val="clear" w:color="auto" w:fill="D0CECE" w:themeFill="background2" w:themeFillShade="E6"/>
          </w:tcPr>
          <w:p w:rsidR="005939CD" w:rsidRDefault="00C2491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val="en-GB" w:eastAsia="pl-PL"/>
              </w:rPr>
            </w:pPr>
            <w:r>
              <w:rPr>
                <w:rFonts w:eastAsia="Times New Roman" w:cstheme="minorHAnsi"/>
                <w:bCs w:val="0"/>
                <w:lang w:val="en-GB" w:eastAsia="pl-PL"/>
              </w:rPr>
              <w:t>CI 2.5%</w:t>
            </w:r>
          </w:p>
        </w:tc>
        <w:tc>
          <w:tcPr>
            <w:tcW w:w="1230" w:type="dxa"/>
            <w:shd w:val="clear" w:color="auto" w:fill="D0CECE" w:themeFill="background2" w:themeFillShade="E6"/>
          </w:tcPr>
          <w:p w:rsidR="005939CD" w:rsidRDefault="00C2491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val="en-GB" w:eastAsia="pl-PL"/>
              </w:rPr>
            </w:pPr>
            <w:r>
              <w:rPr>
                <w:rFonts w:eastAsia="Times New Roman" w:cstheme="minorHAnsi"/>
                <w:bCs w:val="0"/>
                <w:lang w:val="en-GB" w:eastAsia="pl-PL"/>
              </w:rPr>
              <w:t>CI 97.5%</w:t>
            </w:r>
          </w:p>
        </w:tc>
        <w:tc>
          <w:tcPr>
            <w:tcW w:w="1203" w:type="dxa"/>
            <w:shd w:val="clear" w:color="auto" w:fill="D0CECE" w:themeFill="background2" w:themeFillShade="E6"/>
          </w:tcPr>
          <w:p w:rsidR="005939CD" w:rsidRDefault="00C2491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val="en-GB" w:eastAsia="pl-PL"/>
              </w:rPr>
            </w:pPr>
            <w:r>
              <w:rPr>
                <w:rFonts w:eastAsia="Times New Roman" w:cstheme="minorHAnsi"/>
                <w:bCs w:val="0"/>
                <w:lang w:val="en-GB" w:eastAsia="pl-PL"/>
              </w:rPr>
              <w:t>pMCMC</w:t>
            </w:r>
          </w:p>
        </w:tc>
        <w:tc>
          <w:tcPr>
            <w:tcW w:w="1256" w:type="dxa"/>
            <w:shd w:val="clear" w:color="auto" w:fill="D0CECE" w:themeFill="background2" w:themeFillShade="E6"/>
          </w:tcPr>
          <w:p w:rsidR="005939CD" w:rsidRDefault="00C2491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val="en-GB" w:eastAsia="pl-PL"/>
              </w:rPr>
            </w:pPr>
            <w:r>
              <w:rPr>
                <w:rFonts w:eastAsia="Times New Roman" w:cstheme="minorHAnsi"/>
                <w:bCs w:val="0"/>
                <w:lang w:val="en-GB" w:eastAsia="pl-PL"/>
              </w:rPr>
              <w:t>intercept</w:t>
            </w:r>
          </w:p>
        </w:tc>
        <w:tc>
          <w:tcPr>
            <w:tcW w:w="996" w:type="dxa"/>
            <w:shd w:val="clear" w:color="auto" w:fill="D0CECE" w:themeFill="background2" w:themeFillShade="E6"/>
          </w:tcPr>
          <w:p w:rsidR="005939CD" w:rsidRDefault="00C2491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val="en-GB" w:eastAsia="pl-PL"/>
              </w:rPr>
            </w:pPr>
            <w:r>
              <w:rPr>
                <w:rFonts w:eastAsia="Times New Roman" w:cstheme="minorHAnsi"/>
                <w:bCs w:val="0"/>
                <w:lang w:val="en-GB" w:eastAsia="pl-PL"/>
              </w:rPr>
              <w:t>N indv</w:t>
            </w:r>
          </w:p>
        </w:tc>
        <w:tc>
          <w:tcPr>
            <w:tcW w:w="903" w:type="dxa"/>
            <w:shd w:val="clear" w:color="auto" w:fill="D0CECE" w:themeFill="background2" w:themeFillShade="E6"/>
          </w:tcPr>
          <w:p w:rsidR="005939CD" w:rsidRDefault="00C2491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val="en-GB" w:eastAsia="pl-PL"/>
              </w:rPr>
            </w:pPr>
            <w:r>
              <w:rPr>
                <w:rFonts w:eastAsia="Times New Roman" w:cstheme="minorHAnsi"/>
                <w:bCs w:val="0"/>
                <w:lang w:val="en-GB" w:eastAsia="pl-PL"/>
              </w:rPr>
              <w:t>N obs</w:t>
            </w:r>
          </w:p>
        </w:tc>
      </w:tr>
      <w:tr w:rsidR="005939CD" w:rsidTr="005939CD">
        <w:tc>
          <w:tcPr>
            <w:cnfStyle w:val="001000000000" w:firstRow="0" w:lastRow="0" w:firstColumn="1" w:lastColumn="0" w:oddVBand="0" w:evenVBand="0" w:oddHBand="0" w:evenHBand="0" w:firstRowFirstColumn="0" w:firstRowLastColumn="0" w:lastRowFirstColumn="0" w:lastRowLastColumn="0"/>
            <w:tcW w:w="3736" w:type="dxa"/>
          </w:tcPr>
          <w:p w:rsidR="005939CD" w:rsidRDefault="00C24910">
            <w:pPr>
              <w:spacing w:after="0" w:line="240" w:lineRule="auto"/>
              <w:rPr>
                <w:rFonts w:eastAsia="Times New Roman" w:cstheme="minorHAnsi"/>
                <w:lang w:val="en-GB" w:eastAsia="pl-PL"/>
              </w:rPr>
            </w:pPr>
            <w:r>
              <w:rPr>
                <w:rFonts w:eastAsia="Times New Roman" w:cstheme="minorHAnsi"/>
                <w:lang w:val="en-GB" w:eastAsia="pl-PL"/>
              </w:rPr>
              <w:t xml:space="preserve">contextHigh risk </w:t>
            </w:r>
          </w:p>
        </w:tc>
        <w:tc>
          <w:tcPr>
            <w:tcW w:w="135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val="en-GB" w:eastAsia="pl-PL"/>
              </w:rPr>
              <w:t>-0.14</w:t>
            </w:r>
            <w:r>
              <w:rPr>
                <w:rFonts w:eastAsia="Times New Roman" w:cstheme="minorHAnsi"/>
                <w:lang w:eastAsia="pl-PL"/>
              </w:rPr>
              <w:t>09</w:t>
            </w:r>
          </w:p>
        </w:tc>
        <w:tc>
          <w:tcPr>
            <w:tcW w:w="110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b/>
                <w:bCs/>
                <w:lang w:eastAsia="pl-PL"/>
              </w:rPr>
              <w:t>-0.2732</w:t>
            </w:r>
          </w:p>
        </w:tc>
        <w:tc>
          <w:tcPr>
            <w:tcW w:w="1230"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b/>
                <w:bCs/>
                <w:lang w:eastAsia="pl-PL"/>
              </w:rPr>
              <w:t>-0.0132</w:t>
            </w:r>
          </w:p>
        </w:tc>
        <w:tc>
          <w:tcPr>
            <w:tcW w:w="1203"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0.0322</w:t>
            </w:r>
          </w:p>
        </w:tc>
        <w:tc>
          <w:tcPr>
            <w:tcW w:w="125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0.4548</w:t>
            </w:r>
          </w:p>
        </w:tc>
        <w:tc>
          <w:tcPr>
            <w:tcW w:w="99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11</w:t>
            </w:r>
          </w:p>
        </w:tc>
        <w:tc>
          <w:tcPr>
            <w:tcW w:w="903"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192</w:t>
            </w:r>
          </w:p>
        </w:tc>
      </w:tr>
      <w:tr w:rsidR="005939CD" w:rsidTr="005939CD">
        <w:tc>
          <w:tcPr>
            <w:cnfStyle w:val="001000000000" w:firstRow="0" w:lastRow="0" w:firstColumn="1" w:lastColumn="0" w:oddVBand="0" w:evenVBand="0" w:oddHBand="0" w:evenHBand="0" w:firstRowFirstColumn="0" w:firstRowLastColumn="0" w:lastRowFirstColumn="0" w:lastRowLastColumn="0"/>
            <w:tcW w:w="3736" w:type="dxa"/>
          </w:tcPr>
          <w:p w:rsidR="005939CD" w:rsidRDefault="00C24910">
            <w:pPr>
              <w:spacing w:after="0" w:line="240" w:lineRule="auto"/>
              <w:rPr>
                <w:rFonts w:eastAsia="Times New Roman" w:cstheme="minorHAnsi"/>
                <w:b w:val="0"/>
                <w:lang w:eastAsia="pl-PL"/>
              </w:rPr>
            </w:pPr>
            <w:r>
              <w:rPr>
                <w:rFonts w:eastAsia="Times New Roman" w:cstheme="minorHAnsi"/>
                <w:b w:val="0"/>
                <w:lang w:eastAsia="pl-PL"/>
              </w:rPr>
              <w:t xml:space="preserve">arousal </w:t>
            </w:r>
          </w:p>
        </w:tc>
        <w:tc>
          <w:tcPr>
            <w:tcW w:w="135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0.0684</w:t>
            </w:r>
          </w:p>
        </w:tc>
        <w:tc>
          <w:tcPr>
            <w:tcW w:w="110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b/>
                <w:bCs/>
                <w:lang w:eastAsia="pl-PL"/>
              </w:rPr>
              <w:t>0.0275</w:t>
            </w:r>
          </w:p>
        </w:tc>
        <w:tc>
          <w:tcPr>
            <w:tcW w:w="1230"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b/>
                <w:bCs/>
                <w:lang w:eastAsia="pl-PL"/>
              </w:rPr>
              <w:t>0.1083</w:t>
            </w:r>
          </w:p>
        </w:tc>
        <w:tc>
          <w:tcPr>
            <w:tcW w:w="1203"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0.0006</w:t>
            </w:r>
          </w:p>
        </w:tc>
        <w:tc>
          <w:tcPr>
            <w:tcW w:w="125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0.4548</w:t>
            </w:r>
          </w:p>
        </w:tc>
        <w:tc>
          <w:tcPr>
            <w:tcW w:w="99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11</w:t>
            </w:r>
          </w:p>
        </w:tc>
        <w:tc>
          <w:tcPr>
            <w:tcW w:w="903"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192</w:t>
            </w:r>
          </w:p>
        </w:tc>
      </w:tr>
      <w:tr w:rsidR="005939CD" w:rsidTr="005939CD">
        <w:tc>
          <w:tcPr>
            <w:cnfStyle w:val="001000000000" w:firstRow="0" w:lastRow="0" w:firstColumn="1" w:lastColumn="0" w:oddVBand="0" w:evenVBand="0" w:oddHBand="0" w:evenHBand="0" w:firstRowFirstColumn="0" w:firstRowLastColumn="0" w:lastRowFirstColumn="0" w:lastRowLastColumn="0"/>
            <w:tcW w:w="3736" w:type="dxa"/>
          </w:tcPr>
          <w:p w:rsidR="005939CD" w:rsidRDefault="00C24910">
            <w:pPr>
              <w:spacing w:after="0" w:line="240" w:lineRule="auto"/>
              <w:rPr>
                <w:rFonts w:eastAsia="Times New Roman" w:cstheme="minorHAnsi"/>
                <w:b w:val="0"/>
                <w:lang w:eastAsia="pl-PL"/>
              </w:rPr>
            </w:pPr>
            <w:r>
              <w:rPr>
                <w:rFonts w:eastAsia="Times New Roman" w:cstheme="minorHAnsi"/>
                <w:b w:val="0"/>
                <w:lang w:eastAsia="pl-PL"/>
              </w:rPr>
              <w:t xml:space="preserve">exploration </w:t>
            </w:r>
          </w:p>
        </w:tc>
        <w:tc>
          <w:tcPr>
            <w:tcW w:w="135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0.3686</w:t>
            </w:r>
          </w:p>
        </w:tc>
        <w:tc>
          <w:tcPr>
            <w:tcW w:w="110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b/>
                <w:bCs/>
                <w:lang w:eastAsia="pl-PL"/>
              </w:rPr>
              <w:t>0.1244</w:t>
            </w:r>
          </w:p>
        </w:tc>
        <w:tc>
          <w:tcPr>
            <w:tcW w:w="1230"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b/>
                <w:bCs/>
                <w:lang w:eastAsia="pl-PL"/>
              </w:rPr>
              <w:t>0.6167</w:t>
            </w:r>
          </w:p>
        </w:tc>
        <w:tc>
          <w:tcPr>
            <w:tcW w:w="1203"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0.0023</w:t>
            </w:r>
          </w:p>
        </w:tc>
        <w:tc>
          <w:tcPr>
            <w:tcW w:w="125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0.4548</w:t>
            </w:r>
          </w:p>
        </w:tc>
        <w:tc>
          <w:tcPr>
            <w:tcW w:w="99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11</w:t>
            </w:r>
          </w:p>
        </w:tc>
        <w:tc>
          <w:tcPr>
            <w:tcW w:w="903"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192</w:t>
            </w:r>
          </w:p>
        </w:tc>
      </w:tr>
      <w:tr w:rsidR="005939CD" w:rsidTr="005939CD">
        <w:tc>
          <w:tcPr>
            <w:cnfStyle w:val="001000000000" w:firstRow="0" w:lastRow="0" w:firstColumn="1" w:lastColumn="0" w:oddVBand="0" w:evenVBand="0" w:oddHBand="0" w:evenHBand="0" w:firstRowFirstColumn="0" w:firstRowLastColumn="0" w:lastRowFirstColumn="0" w:lastRowLastColumn="0"/>
            <w:tcW w:w="3736" w:type="dxa"/>
          </w:tcPr>
          <w:p w:rsidR="005939CD" w:rsidRDefault="00C24910">
            <w:pPr>
              <w:spacing w:after="0" w:line="240" w:lineRule="auto"/>
              <w:rPr>
                <w:rFonts w:eastAsia="Times New Roman" w:cstheme="minorHAnsi"/>
                <w:lang w:eastAsia="pl-PL"/>
              </w:rPr>
            </w:pPr>
            <w:r>
              <w:rPr>
                <w:rFonts w:eastAsia="Times New Roman" w:cstheme="minorHAnsi"/>
                <w:lang w:eastAsia="pl-PL"/>
              </w:rPr>
              <w:t xml:space="preserve">risk_avoidance </w:t>
            </w:r>
          </w:p>
        </w:tc>
        <w:tc>
          <w:tcPr>
            <w:tcW w:w="135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-0.0327</w:t>
            </w:r>
          </w:p>
        </w:tc>
        <w:tc>
          <w:tcPr>
            <w:tcW w:w="110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-0.0663</w:t>
            </w:r>
          </w:p>
        </w:tc>
        <w:tc>
          <w:tcPr>
            <w:tcW w:w="1230"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0.0023</w:t>
            </w:r>
          </w:p>
        </w:tc>
        <w:tc>
          <w:tcPr>
            <w:tcW w:w="1203"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0.0641</w:t>
            </w:r>
          </w:p>
        </w:tc>
        <w:tc>
          <w:tcPr>
            <w:tcW w:w="125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0.4548</w:t>
            </w:r>
          </w:p>
        </w:tc>
        <w:tc>
          <w:tcPr>
            <w:tcW w:w="99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11</w:t>
            </w:r>
          </w:p>
        </w:tc>
        <w:tc>
          <w:tcPr>
            <w:tcW w:w="903"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192</w:t>
            </w:r>
          </w:p>
        </w:tc>
      </w:tr>
      <w:tr w:rsidR="005939CD" w:rsidTr="005939CD">
        <w:tc>
          <w:tcPr>
            <w:cnfStyle w:val="001000000000" w:firstRow="0" w:lastRow="0" w:firstColumn="1" w:lastColumn="0" w:oddVBand="0" w:evenVBand="0" w:oddHBand="0" w:evenHBand="0" w:firstRowFirstColumn="0" w:firstRowLastColumn="0" w:lastRowFirstColumn="0" w:lastRowLastColumn="0"/>
            <w:tcW w:w="3736" w:type="dxa"/>
          </w:tcPr>
          <w:p w:rsidR="005939CD" w:rsidRDefault="00C24910">
            <w:pPr>
              <w:spacing w:after="0" w:line="240" w:lineRule="auto"/>
              <w:rPr>
                <w:rFonts w:eastAsia="Times New Roman" w:cstheme="minorHAnsi"/>
                <w:b w:val="0"/>
                <w:lang w:eastAsia="pl-PL"/>
              </w:rPr>
            </w:pPr>
            <w:r>
              <w:rPr>
                <w:rFonts w:eastAsia="Times New Roman" w:cstheme="minorHAnsi"/>
                <w:b w:val="0"/>
                <w:lang w:eastAsia="pl-PL"/>
              </w:rPr>
              <w:t xml:space="preserve">contextHigh risk:arousal </w:t>
            </w:r>
          </w:p>
        </w:tc>
        <w:tc>
          <w:tcPr>
            <w:tcW w:w="135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0.2445</w:t>
            </w:r>
          </w:p>
        </w:tc>
        <w:tc>
          <w:tcPr>
            <w:tcW w:w="110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b/>
                <w:bCs/>
                <w:lang w:eastAsia="pl-PL"/>
              </w:rPr>
              <w:t>0.1541</w:t>
            </w:r>
          </w:p>
        </w:tc>
        <w:tc>
          <w:tcPr>
            <w:tcW w:w="1230"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b/>
                <w:bCs/>
                <w:lang w:eastAsia="pl-PL"/>
              </w:rPr>
              <w:t>0.3436</w:t>
            </w:r>
          </w:p>
        </w:tc>
        <w:tc>
          <w:tcPr>
            <w:tcW w:w="1203"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0.0001</w:t>
            </w:r>
          </w:p>
        </w:tc>
        <w:tc>
          <w:tcPr>
            <w:tcW w:w="125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0.4548</w:t>
            </w:r>
          </w:p>
        </w:tc>
        <w:tc>
          <w:tcPr>
            <w:tcW w:w="99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11</w:t>
            </w:r>
          </w:p>
        </w:tc>
        <w:tc>
          <w:tcPr>
            <w:tcW w:w="903"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192</w:t>
            </w:r>
          </w:p>
        </w:tc>
      </w:tr>
      <w:tr w:rsidR="005939CD" w:rsidTr="005939CD">
        <w:tc>
          <w:tcPr>
            <w:cnfStyle w:val="001000000000" w:firstRow="0" w:lastRow="0" w:firstColumn="1" w:lastColumn="0" w:oddVBand="0" w:evenVBand="0" w:oddHBand="0" w:evenHBand="0" w:firstRowFirstColumn="0" w:firstRowLastColumn="0" w:lastRowFirstColumn="0" w:lastRowLastColumn="0"/>
            <w:tcW w:w="3736" w:type="dxa"/>
          </w:tcPr>
          <w:p w:rsidR="005939CD" w:rsidRDefault="00C24910">
            <w:pPr>
              <w:spacing w:after="0" w:line="240" w:lineRule="auto"/>
              <w:rPr>
                <w:rFonts w:eastAsia="Times New Roman" w:cstheme="minorHAnsi"/>
                <w:b w:val="0"/>
                <w:lang w:eastAsia="pl-PL"/>
              </w:rPr>
            </w:pPr>
            <w:r>
              <w:rPr>
                <w:rFonts w:eastAsia="Times New Roman" w:cstheme="minorHAnsi"/>
                <w:b w:val="0"/>
                <w:lang w:eastAsia="pl-PL"/>
              </w:rPr>
              <w:t xml:space="preserve">contextHigh risk:exploration </w:t>
            </w:r>
          </w:p>
        </w:tc>
        <w:tc>
          <w:tcPr>
            <w:tcW w:w="135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-0.8355</w:t>
            </w:r>
          </w:p>
        </w:tc>
        <w:tc>
          <w:tcPr>
            <w:tcW w:w="110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b/>
                <w:bCs/>
                <w:lang w:eastAsia="pl-PL"/>
              </w:rPr>
              <w:t>-1.1641</w:t>
            </w:r>
          </w:p>
        </w:tc>
        <w:tc>
          <w:tcPr>
            <w:tcW w:w="1230"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b/>
                <w:bCs/>
                <w:lang w:eastAsia="pl-PL"/>
              </w:rPr>
              <w:t>-0.4925</w:t>
            </w:r>
          </w:p>
        </w:tc>
        <w:tc>
          <w:tcPr>
            <w:tcW w:w="1203"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0.0001</w:t>
            </w:r>
          </w:p>
        </w:tc>
        <w:tc>
          <w:tcPr>
            <w:tcW w:w="125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0.4548</w:t>
            </w:r>
          </w:p>
        </w:tc>
        <w:tc>
          <w:tcPr>
            <w:tcW w:w="99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11</w:t>
            </w:r>
          </w:p>
        </w:tc>
        <w:tc>
          <w:tcPr>
            <w:tcW w:w="903"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192</w:t>
            </w:r>
          </w:p>
        </w:tc>
      </w:tr>
      <w:tr w:rsidR="005939CD" w:rsidTr="005939CD">
        <w:tc>
          <w:tcPr>
            <w:cnfStyle w:val="001000000000" w:firstRow="0" w:lastRow="0" w:firstColumn="1" w:lastColumn="0" w:oddVBand="0" w:evenVBand="0" w:oddHBand="0" w:evenHBand="0" w:firstRowFirstColumn="0" w:firstRowLastColumn="0" w:lastRowFirstColumn="0" w:lastRowLastColumn="0"/>
            <w:tcW w:w="3736" w:type="dxa"/>
          </w:tcPr>
          <w:p w:rsidR="005939CD" w:rsidRDefault="00C24910">
            <w:pPr>
              <w:spacing w:after="0" w:line="240" w:lineRule="auto"/>
              <w:rPr>
                <w:rFonts w:eastAsia="Times New Roman" w:cstheme="minorHAnsi"/>
                <w:lang w:eastAsia="pl-PL"/>
              </w:rPr>
            </w:pPr>
            <w:r>
              <w:rPr>
                <w:rFonts w:eastAsia="Times New Roman" w:cstheme="minorHAnsi"/>
                <w:lang w:eastAsia="pl-PL"/>
              </w:rPr>
              <w:t xml:space="preserve">contextHigh risk:risk_avoidance </w:t>
            </w:r>
          </w:p>
        </w:tc>
        <w:tc>
          <w:tcPr>
            <w:tcW w:w="135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-0.0270</w:t>
            </w:r>
          </w:p>
        </w:tc>
        <w:tc>
          <w:tcPr>
            <w:tcW w:w="110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-0.0793</w:t>
            </w:r>
          </w:p>
        </w:tc>
        <w:tc>
          <w:tcPr>
            <w:tcW w:w="1230"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0.021</w:t>
            </w:r>
          </w:p>
        </w:tc>
        <w:tc>
          <w:tcPr>
            <w:tcW w:w="1203"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0.2918</w:t>
            </w:r>
          </w:p>
        </w:tc>
        <w:tc>
          <w:tcPr>
            <w:tcW w:w="125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0.4548</w:t>
            </w:r>
          </w:p>
        </w:tc>
        <w:tc>
          <w:tcPr>
            <w:tcW w:w="996"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11</w:t>
            </w:r>
          </w:p>
        </w:tc>
        <w:tc>
          <w:tcPr>
            <w:tcW w:w="903" w:type="dxa"/>
          </w:tcPr>
          <w:p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192</w:t>
            </w:r>
          </w:p>
        </w:tc>
      </w:tr>
    </w:tbl>
    <w:p w:rsidR="005939CD" w:rsidRDefault="005939CD">
      <w:pPr>
        <w:spacing w:line="480" w:lineRule="auto"/>
        <w:jc w:val="both"/>
        <w:rPr>
          <w:rFonts w:cstheme="minorHAnsi"/>
          <w:b/>
          <w:lang w:val="en-GB"/>
        </w:rPr>
      </w:pPr>
    </w:p>
    <w:p w:rsidR="005939CD" w:rsidRDefault="005939CD">
      <w:pPr>
        <w:spacing w:line="480" w:lineRule="auto"/>
        <w:jc w:val="both"/>
        <w:rPr>
          <w:rFonts w:cstheme="minorHAnsi"/>
          <w:b/>
          <w:lang w:val="en-GB"/>
        </w:rPr>
        <w:sectPr w:rsidR="005939CD">
          <w:pgSz w:w="16838" w:h="11906" w:orient="landscape"/>
          <w:pgMar w:top="1417" w:right="1417" w:bottom="1274" w:left="1417" w:header="708" w:footer="708" w:gutter="0"/>
          <w:lnNumType w:countBy="1" w:restart="continuous"/>
          <w:cols w:space="708"/>
          <w:docGrid w:linePitch="360"/>
        </w:sectPr>
      </w:pPr>
    </w:p>
    <w:p w:rsidR="005939CD" w:rsidRDefault="00C24910">
      <w:pPr>
        <w:spacing w:line="480" w:lineRule="auto"/>
        <w:jc w:val="both"/>
        <w:rPr>
          <w:rFonts w:cstheme="minorHAnsi"/>
          <w:lang w:val="en-GB"/>
        </w:rPr>
      </w:pPr>
      <w:r>
        <w:rPr>
          <w:rFonts w:cstheme="minorHAnsi"/>
          <w:b/>
          <w:lang w:val="en-GB"/>
        </w:rPr>
        <w:lastRenderedPageBreak/>
        <w:t>Figure 1.</w:t>
      </w:r>
      <w:r>
        <w:rPr>
          <w:rFonts w:cstheme="minorHAnsi"/>
          <w:lang w:val="en-GB"/>
        </w:rPr>
        <w:t xml:space="preserve"> Scheme of the foraging visit – the total time spent by focal bird at the feeders area with at last one feeding event. Time-points crucial for the data analysis denoted with black circles and labelled with letters to denote particular events, being components of the foraging visit: </w:t>
      </w:r>
      <w:r>
        <w:rPr>
          <w:rFonts w:cstheme="minorHAnsi"/>
          <w:b/>
          <w:lang w:val="en-GB"/>
        </w:rPr>
        <w:t>a)</w:t>
      </w:r>
      <w:r>
        <w:rPr>
          <w:rFonts w:cstheme="minorHAnsi"/>
          <w:lang w:val="en-GB"/>
        </w:rPr>
        <w:t xml:space="preserve"> onset of the foraging visit (appearance in the feeder area, usually hovering in front of the feeder); </w:t>
      </w:r>
      <w:r>
        <w:rPr>
          <w:rFonts w:cstheme="minorHAnsi"/>
          <w:b/>
          <w:lang w:val="en-GB"/>
        </w:rPr>
        <w:t>b)</w:t>
      </w:r>
      <w:r>
        <w:rPr>
          <w:rFonts w:cstheme="minorHAnsi"/>
          <w:lang w:val="en-GB"/>
        </w:rPr>
        <w:t xml:space="preserve"> and </w:t>
      </w:r>
      <w:r>
        <w:rPr>
          <w:rFonts w:cstheme="minorHAnsi"/>
          <w:b/>
          <w:lang w:val="en-GB"/>
        </w:rPr>
        <w:t>d)</w:t>
      </w:r>
      <w:r>
        <w:rPr>
          <w:rFonts w:cstheme="minorHAnsi"/>
          <w:lang w:val="en-GB"/>
        </w:rPr>
        <w:t xml:space="preserve"> onsets of consecutive feeding events (i.e. inserting the bill into the flower-hole  of the feeder; </w:t>
      </w:r>
      <w:r>
        <w:rPr>
          <w:rFonts w:cstheme="minorHAnsi"/>
          <w:b/>
          <w:lang w:val="en-GB"/>
        </w:rPr>
        <w:t>c)</w:t>
      </w:r>
      <w:r>
        <w:rPr>
          <w:rFonts w:cstheme="minorHAnsi"/>
          <w:lang w:val="en-GB"/>
        </w:rPr>
        <w:t xml:space="preserve"> end of the feeding event (i.e. removal of the bill from the flower-hole of the feeder); e) end of the foraging visit (i.e. the end of the very last feeding event during the foraging visit). Multiple feedings intervals were possible (1-26, mean: 4.9).</w:t>
      </w:r>
    </w:p>
    <w:p w:rsidR="005939CD" w:rsidRDefault="00C24910">
      <w:pPr>
        <w:rPr>
          <w:rFonts w:cstheme="minorHAnsi"/>
          <w:b/>
          <w:lang w:val="en-GB"/>
        </w:rPr>
      </w:pPr>
      <w:r>
        <w:rPr>
          <w:rFonts w:cstheme="minorHAnsi"/>
          <w:noProof/>
          <w:lang w:eastAsia="pl-PL"/>
        </w:rPr>
        <w:drawing>
          <wp:inline distT="0" distB="0" distL="0" distR="0">
            <wp:extent cx="5851525" cy="3295015"/>
            <wp:effectExtent l="0" t="0" r="0" b="63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a:picLocks noChangeAspect="1"/>
                    </pic:cNvPicPr>
                  </pic:nvPicPr>
                  <pic:blipFill>
                    <a:blip r:embed="rId9"/>
                    <a:stretch>
                      <a:fillRect/>
                    </a:stretch>
                  </pic:blipFill>
                  <pic:spPr>
                    <a:xfrm>
                      <a:off x="0" y="0"/>
                      <a:ext cx="5851525" cy="3295015"/>
                    </a:xfrm>
                    <a:prstGeom prst="rect">
                      <a:avLst/>
                    </a:prstGeom>
                  </pic:spPr>
                </pic:pic>
              </a:graphicData>
            </a:graphic>
          </wp:inline>
        </w:drawing>
      </w:r>
    </w:p>
    <w:p w:rsidR="005939CD" w:rsidRDefault="005939CD">
      <w:pPr>
        <w:spacing w:line="480" w:lineRule="auto"/>
        <w:jc w:val="both"/>
        <w:rPr>
          <w:rFonts w:cstheme="minorHAnsi"/>
          <w:b/>
          <w:lang w:val="en-GB"/>
        </w:rPr>
        <w:sectPr w:rsidR="005939CD">
          <w:pgSz w:w="11906" w:h="16838"/>
          <w:pgMar w:top="1417" w:right="1274" w:bottom="1417" w:left="1417" w:header="708" w:footer="708" w:gutter="0"/>
          <w:lnNumType w:countBy="1" w:restart="continuous"/>
          <w:cols w:space="708"/>
          <w:docGrid w:linePitch="360"/>
        </w:sectPr>
      </w:pPr>
    </w:p>
    <w:p w:rsidR="005939CD" w:rsidRDefault="00C24910">
      <w:pPr>
        <w:spacing w:line="480" w:lineRule="auto"/>
        <w:jc w:val="both"/>
        <w:rPr>
          <w:rFonts w:cstheme="minorHAnsi"/>
          <w:bCs/>
          <w:lang w:val="en-GB"/>
        </w:rPr>
      </w:pPr>
      <w:r>
        <w:rPr>
          <w:rFonts w:cstheme="minorHAnsi"/>
          <w:b/>
          <w:lang w:val="en-GB"/>
        </w:rPr>
        <w:lastRenderedPageBreak/>
        <w:t>Figure 2</w:t>
      </w:r>
      <w:r>
        <w:rPr>
          <w:rFonts w:cstheme="minorHAnsi"/>
          <w:bCs/>
          <w:lang w:val="en-GB"/>
        </w:rPr>
        <w:t>. Repeatability estimates of foraging efficiency and behavioural parameters in the long billed hermit</w:t>
      </w:r>
      <w:r>
        <w:rPr>
          <w:rFonts w:cstheme="minorHAnsi"/>
          <w:bCs/>
          <w:lang w:val="pt"/>
        </w:rPr>
        <w:t xml:space="preserve"> measured with </w:t>
      </w:r>
      <w:r>
        <w:rPr>
          <w:rFonts w:cstheme="minorHAnsi"/>
          <w:bCs/>
          <w:lang w:val="en-GB"/>
        </w:rPr>
        <w:t>linear mixed-effects model</w:t>
      </w:r>
      <w:r>
        <w:rPr>
          <w:rFonts w:cstheme="minorHAnsi"/>
          <w:bCs/>
          <w:lang w:val="pt"/>
        </w:rPr>
        <w:t>s</w:t>
      </w:r>
      <w:r>
        <w:rPr>
          <w:rFonts w:cstheme="minorHAnsi"/>
          <w:bCs/>
          <w:lang w:val="en-GB"/>
        </w:rPr>
        <w:t xml:space="preserve"> </w:t>
      </w:r>
      <w:r>
        <w:rPr>
          <w:rFonts w:cstheme="minorHAnsi"/>
          <w:bCs/>
          <w:lang w:val="en-GB"/>
        </w:rPr>
        <w:fldChar w:fldCharType="begin" w:fldLock="1"/>
      </w:r>
      <w:r w:rsidR="00022ECD">
        <w:rPr>
          <w:rFonts w:cstheme="minorHAnsi"/>
          <w:bCs/>
          <w:lang w:val="en-GB"/>
        </w:rPr>
        <w:instrText>ADDIN CSL_CITATION {"citationItems":[{"id":"ITEM-1","itemData":{"DOI":"10.1111/j.1469-185X.2010.00141.x","author":[{"dropping-particle":"","family":"Nakagawa","given":"Shinichi","non-dropping-particle":"","parse-names":false,"suffix":""},{"dropping-particle":"","family":"Schielzeth","given":"Holger","non-dropping-particle":"","parse-names":false,"suffix":""}],"container-title":"Biological Reviews","id":"ITEM-1","issued":{"date-parts":[["2010"]]},"page":"935-956","title":"Repeatability for Gaussian and non-Gaussian data: a practical guide for biologists","type":"article-journal","volume":"85"},"uris":["http://www.mendeley.com/documents/?uuid=1ab83114-0e16-4a45-94ea-d0e7e0a2544b"]}],"mendeley":{"formattedCitation":"(Nakagawa and Schielzeth 2010)","plainTextFormattedCitation":"(Nakagawa and Schielzeth 2010)","previouslyFormattedCitation":"(Nakagawa and Schielzeth 2010)"},"properties":{"noteIndex":0},"schema":"https://github.com/citation-style-language/schema/raw/master/csl-citation.json"}</w:instrText>
      </w:r>
      <w:r>
        <w:rPr>
          <w:rFonts w:cstheme="minorHAnsi"/>
          <w:bCs/>
          <w:lang w:val="en-GB"/>
        </w:rPr>
        <w:fldChar w:fldCharType="separate"/>
      </w:r>
      <w:r w:rsidR="00022ECD" w:rsidRPr="00022ECD">
        <w:rPr>
          <w:rFonts w:cstheme="minorHAnsi"/>
          <w:bCs/>
          <w:noProof/>
          <w:lang w:val="en-GB"/>
        </w:rPr>
        <w:t>(Nakagawa and Schielzeth 2010)</w:t>
      </w:r>
      <w:r>
        <w:rPr>
          <w:rFonts w:cstheme="minorHAnsi"/>
          <w:bCs/>
          <w:lang w:val="en-GB"/>
        </w:rPr>
        <w:fldChar w:fldCharType="end"/>
      </w:r>
      <w:r>
        <w:rPr>
          <w:rFonts w:cstheme="minorHAnsi"/>
          <w:bCs/>
          <w:lang w:val="en-GB"/>
        </w:rPr>
        <w:t>.</w:t>
      </w:r>
    </w:p>
    <w:p w:rsidR="005939CD" w:rsidRDefault="005939CD">
      <w:pPr>
        <w:spacing w:line="480" w:lineRule="auto"/>
        <w:jc w:val="both"/>
        <w:rPr>
          <w:rFonts w:cstheme="minorHAnsi"/>
          <w:bCs/>
          <w:lang w:val="en-GB"/>
        </w:rPr>
      </w:pPr>
    </w:p>
    <w:p w:rsidR="005939CD" w:rsidRDefault="00C24910">
      <w:pPr>
        <w:spacing w:line="480" w:lineRule="auto"/>
        <w:jc w:val="both"/>
        <w:rPr>
          <w:rFonts w:cstheme="minorHAnsi"/>
          <w:bCs/>
          <w:lang w:val="en-GB"/>
        </w:rPr>
      </w:pPr>
      <w:r>
        <w:rPr>
          <w:rFonts w:cstheme="minorHAnsi"/>
          <w:bCs/>
          <w:noProof/>
          <w:lang w:eastAsia="pl-PL"/>
        </w:rPr>
        <w:drawing>
          <wp:inline distT="0" distB="0" distL="0" distR="0">
            <wp:extent cx="4267200" cy="2843530"/>
            <wp:effectExtent l="0" t="0" r="0" b="0"/>
            <wp:docPr id="2" name="Obraz 2" descr="C:\Users\KWJ\AppData\Local\Microsoft\Windows\INetCache\Content.MSO\F455EC1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C:\Users\KWJ\AppData\Local\Microsoft\Windows\INetCache\Content.MSO\F455EC10.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268711" cy="2844655"/>
                    </a:xfrm>
                    <a:prstGeom prst="rect">
                      <a:avLst/>
                    </a:prstGeom>
                    <a:noFill/>
                    <a:ln>
                      <a:noFill/>
                    </a:ln>
                  </pic:spPr>
                </pic:pic>
              </a:graphicData>
            </a:graphic>
          </wp:inline>
        </w:drawing>
      </w:r>
      <w:r>
        <w:rPr>
          <w:rFonts w:cstheme="minorHAnsi"/>
          <w:bCs/>
          <w:lang w:val="en-GB"/>
        </w:rPr>
        <w:t xml:space="preserve"> </w:t>
      </w:r>
    </w:p>
    <w:p w:rsidR="005939CD" w:rsidRDefault="005939CD">
      <w:pPr>
        <w:spacing w:line="480" w:lineRule="auto"/>
        <w:jc w:val="both"/>
        <w:rPr>
          <w:rFonts w:cstheme="minorHAnsi"/>
          <w:bCs/>
          <w:lang w:val="en-GB"/>
        </w:rPr>
      </w:pPr>
    </w:p>
    <w:p w:rsidR="005939CD" w:rsidRDefault="005939CD">
      <w:pPr>
        <w:spacing w:line="480" w:lineRule="auto"/>
        <w:jc w:val="both"/>
        <w:rPr>
          <w:rFonts w:cstheme="minorHAnsi"/>
          <w:b/>
          <w:bCs/>
          <w:lang w:val="en-GB"/>
        </w:rPr>
        <w:sectPr w:rsidR="005939CD">
          <w:pgSz w:w="11906" w:h="16838"/>
          <w:pgMar w:top="1417" w:right="1274" w:bottom="1417" w:left="1417" w:header="708" w:footer="708" w:gutter="0"/>
          <w:lnNumType w:countBy="1" w:restart="continuous"/>
          <w:cols w:space="708"/>
          <w:docGrid w:linePitch="360"/>
        </w:sectPr>
      </w:pPr>
    </w:p>
    <w:p w:rsidR="005939CD" w:rsidRDefault="00C24910">
      <w:pPr>
        <w:spacing w:line="480" w:lineRule="auto"/>
        <w:jc w:val="both"/>
        <w:rPr>
          <w:rFonts w:cstheme="minorHAnsi"/>
          <w:lang w:val="en-GB"/>
        </w:rPr>
      </w:pPr>
      <w:r>
        <w:rPr>
          <w:rFonts w:cstheme="minorHAnsi"/>
          <w:b/>
          <w:bCs/>
          <w:lang w:val="en-GB"/>
        </w:rPr>
        <w:lastRenderedPageBreak/>
        <w:t>Figure 3.</w:t>
      </w:r>
      <w:r>
        <w:rPr>
          <w:rFonts w:cstheme="minorHAnsi"/>
          <w:bCs/>
          <w:lang w:val="en-GB"/>
        </w:rPr>
        <w:t xml:space="preserve"> Foraging efficiency</w:t>
      </w:r>
      <w:r>
        <w:rPr>
          <w:rFonts w:cstheme="minorHAnsi"/>
          <w:lang w:val="en-GB"/>
        </w:rPr>
        <w:t xml:space="preserve"> in the context of low and high levels of perceived risk of predation. </w:t>
      </w:r>
    </w:p>
    <w:p w:rsidR="005939CD" w:rsidRDefault="00C24910">
      <w:pPr>
        <w:spacing w:line="480" w:lineRule="auto"/>
        <w:jc w:val="both"/>
        <w:rPr>
          <w:rFonts w:cstheme="minorHAnsi"/>
          <w:lang w:val="en-GB"/>
        </w:rPr>
      </w:pPr>
      <w:r>
        <w:rPr>
          <w:rFonts w:cstheme="minorHAnsi"/>
          <w:noProof/>
          <w:lang w:eastAsia="pl-PL"/>
        </w:rPr>
        <w:drawing>
          <wp:inline distT="0" distB="0" distL="0" distR="0">
            <wp:extent cx="4269740" cy="2846705"/>
            <wp:effectExtent l="0" t="0" r="0" b="0"/>
            <wp:docPr id="3" name="Obraz 3" descr="C:\Users\KWJ\AppData\Local\Microsoft\Windows\INetCache\Content.MSO\4127FC9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C:\Users\KWJ\AppData\Local\Microsoft\Windows\INetCache\Content.MSO\4127FC9E.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271081" cy="2847388"/>
                    </a:xfrm>
                    <a:prstGeom prst="rect">
                      <a:avLst/>
                    </a:prstGeom>
                    <a:noFill/>
                    <a:ln>
                      <a:noFill/>
                    </a:ln>
                  </pic:spPr>
                </pic:pic>
              </a:graphicData>
            </a:graphic>
          </wp:inline>
        </w:drawing>
      </w:r>
    </w:p>
    <w:p w:rsidR="005939CD" w:rsidRDefault="00C24910">
      <w:pPr>
        <w:rPr>
          <w:rFonts w:cstheme="minorHAnsi"/>
          <w:b/>
          <w:lang w:val="en-GB"/>
        </w:rPr>
      </w:pPr>
      <w:r>
        <w:rPr>
          <w:rFonts w:cstheme="minorHAnsi"/>
          <w:b/>
          <w:lang w:val="en-GB"/>
        </w:rPr>
        <w:t xml:space="preserve"> </w:t>
      </w:r>
    </w:p>
    <w:p w:rsidR="005939CD" w:rsidRDefault="005939CD">
      <w:pPr>
        <w:spacing w:line="480" w:lineRule="auto"/>
        <w:jc w:val="both"/>
        <w:rPr>
          <w:rFonts w:cstheme="minorHAnsi"/>
          <w:b/>
          <w:lang w:val="en-GB"/>
        </w:rPr>
        <w:sectPr w:rsidR="005939CD">
          <w:pgSz w:w="11906" w:h="16838"/>
          <w:pgMar w:top="1417" w:right="1274" w:bottom="1417" w:left="1417" w:header="708" w:footer="708" w:gutter="0"/>
          <w:lnNumType w:countBy="1" w:restart="continuous"/>
          <w:cols w:space="708"/>
          <w:docGrid w:linePitch="360"/>
        </w:sectPr>
      </w:pPr>
    </w:p>
    <w:p w:rsidR="005939CD" w:rsidRDefault="00C24910">
      <w:pPr>
        <w:spacing w:line="480" w:lineRule="auto"/>
        <w:jc w:val="both"/>
        <w:rPr>
          <w:rFonts w:cstheme="minorHAnsi"/>
          <w:lang w:val="en-GB"/>
        </w:rPr>
      </w:pPr>
      <w:r>
        <w:rPr>
          <w:rFonts w:cstheme="minorHAnsi"/>
          <w:b/>
          <w:lang w:val="en-GB"/>
        </w:rPr>
        <w:lastRenderedPageBreak/>
        <w:t xml:space="preserve">Figure 4. </w:t>
      </w:r>
      <w:r>
        <w:rPr>
          <w:rFonts w:cstheme="minorHAnsi"/>
          <w:lang w:val="en-GB"/>
        </w:rPr>
        <w:t xml:space="preserve">Foraging efficiency of long billed hermits in regard to their behavioural performance  (exploration, risk avoidance and arousal) in the context of low and high levels of perceived risk of predation. </w:t>
      </w:r>
    </w:p>
    <w:p w:rsidR="005939CD" w:rsidRDefault="005939CD">
      <w:pPr>
        <w:spacing w:line="480" w:lineRule="auto"/>
        <w:jc w:val="both"/>
        <w:rPr>
          <w:rFonts w:cstheme="minorHAnsi"/>
          <w:b/>
          <w:lang w:val="en-GB"/>
        </w:rPr>
      </w:pPr>
    </w:p>
    <w:p w:rsidR="005939CD" w:rsidRDefault="00C24910">
      <w:pPr>
        <w:spacing w:line="480" w:lineRule="auto"/>
        <w:jc w:val="both"/>
        <w:rPr>
          <w:rFonts w:cstheme="minorHAnsi"/>
          <w:lang w:val="en-GB"/>
        </w:rPr>
      </w:pPr>
      <w:r>
        <w:rPr>
          <w:rFonts w:cstheme="minorHAnsi"/>
          <w:noProof/>
          <w:lang w:eastAsia="pl-PL"/>
        </w:rPr>
        <w:drawing>
          <wp:inline distT="0" distB="0" distL="0" distR="0">
            <wp:extent cx="5851525" cy="6690360"/>
            <wp:effectExtent l="0" t="0" r="0" b="0"/>
            <wp:docPr id="4" name="Obraz 4" descr="C:\Users\KWJ\AppData\Local\Microsoft\Windows\INetCache\Content.MSO\D6D7F25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C:\Users\KWJ\AppData\Local\Microsoft\Windows\INetCache\Content.MSO\D6D7F25C.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851525" cy="6690360"/>
                    </a:xfrm>
                    <a:prstGeom prst="rect">
                      <a:avLst/>
                    </a:prstGeom>
                    <a:noFill/>
                    <a:ln>
                      <a:noFill/>
                    </a:ln>
                  </pic:spPr>
                </pic:pic>
              </a:graphicData>
            </a:graphic>
          </wp:inline>
        </w:drawing>
      </w:r>
    </w:p>
    <w:sectPr w:rsidR="005939CD">
      <w:pgSz w:w="11906" w:h="16838"/>
      <w:pgMar w:top="1417" w:right="1274" w:bottom="1417"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65AF" w:rsidRDefault="002865AF">
      <w:pPr>
        <w:spacing w:line="240" w:lineRule="auto"/>
      </w:pPr>
      <w:r>
        <w:separator/>
      </w:r>
    </w:p>
  </w:endnote>
  <w:endnote w:type="continuationSeparator" w:id="0">
    <w:p w:rsidR="002865AF" w:rsidRDefault="002865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EE"/>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3654352"/>
    </w:sdtPr>
    <w:sdtEndPr/>
    <w:sdtContent>
      <w:p w:rsidR="005939CD" w:rsidRDefault="00C24910">
        <w:pPr>
          <w:pStyle w:val="Stopka"/>
          <w:jc w:val="right"/>
        </w:pPr>
        <w:r>
          <w:fldChar w:fldCharType="begin"/>
        </w:r>
        <w:r>
          <w:instrText>PAGE   \* MERGEFORMAT</w:instrText>
        </w:r>
        <w:r>
          <w:fldChar w:fldCharType="separate"/>
        </w:r>
        <w:r w:rsidR="006D3236">
          <w:rPr>
            <w:noProof/>
          </w:rPr>
          <w:t>2</w:t>
        </w:r>
        <w:r>
          <w:fldChar w:fldCharType="end"/>
        </w:r>
      </w:p>
    </w:sdtContent>
  </w:sdt>
  <w:p w:rsidR="005939CD" w:rsidRDefault="005939CD">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65AF" w:rsidRDefault="002865AF">
      <w:pPr>
        <w:spacing w:after="0" w:line="240" w:lineRule="auto"/>
      </w:pPr>
      <w:r>
        <w:separator/>
      </w:r>
    </w:p>
  </w:footnote>
  <w:footnote w:type="continuationSeparator" w:id="0">
    <w:p w:rsidR="002865AF" w:rsidRDefault="002865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826"/>
    <w:rsid w:val="BBBD417C"/>
    <w:rsid w:val="BDEF3684"/>
    <w:rsid w:val="CEF77AD3"/>
    <w:rsid w:val="CF5F6279"/>
    <w:rsid w:val="DB6FBCB4"/>
    <w:rsid w:val="DEDBA66A"/>
    <w:rsid w:val="DEFDFA3F"/>
    <w:rsid w:val="DFFD5DA5"/>
    <w:rsid w:val="DFFFF0BB"/>
    <w:rsid w:val="EB8BA6CA"/>
    <w:rsid w:val="F4F777B8"/>
    <w:rsid w:val="F77D4BE8"/>
    <w:rsid w:val="FC9FCDBD"/>
    <w:rsid w:val="FFBF97E2"/>
    <w:rsid w:val="FFEB29FF"/>
    <w:rsid w:val="00022937"/>
    <w:rsid w:val="00022ECD"/>
    <w:rsid w:val="000255FE"/>
    <w:rsid w:val="000305C2"/>
    <w:rsid w:val="00042BE7"/>
    <w:rsid w:val="00042E47"/>
    <w:rsid w:val="00051452"/>
    <w:rsid w:val="0005292D"/>
    <w:rsid w:val="0005398F"/>
    <w:rsid w:val="00053FE0"/>
    <w:rsid w:val="00054A69"/>
    <w:rsid w:val="00057804"/>
    <w:rsid w:val="0006129D"/>
    <w:rsid w:val="00061EF3"/>
    <w:rsid w:val="00064F41"/>
    <w:rsid w:val="00074808"/>
    <w:rsid w:val="00076C38"/>
    <w:rsid w:val="000802BA"/>
    <w:rsid w:val="00094494"/>
    <w:rsid w:val="000A124F"/>
    <w:rsid w:val="000B3AA1"/>
    <w:rsid w:val="000C7209"/>
    <w:rsid w:val="000C7B2C"/>
    <w:rsid w:val="000D3C90"/>
    <w:rsid w:val="000E2CF1"/>
    <w:rsid w:val="000E712F"/>
    <w:rsid w:val="000F0CCC"/>
    <w:rsid w:val="000F7509"/>
    <w:rsid w:val="00110A4E"/>
    <w:rsid w:val="00114E0F"/>
    <w:rsid w:val="001151A3"/>
    <w:rsid w:val="001226F4"/>
    <w:rsid w:val="001264CA"/>
    <w:rsid w:val="001269AB"/>
    <w:rsid w:val="00127574"/>
    <w:rsid w:val="00127ACC"/>
    <w:rsid w:val="001320E9"/>
    <w:rsid w:val="001368BE"/>
    <w:rsid w:val="0016489C"/>
    <w:rsid w:val="00164BAA"/>
    <w:rsid w:val="001679BD"/>
    <w:rsid w:val="00183F7E"/>
    <w:rsid w:val="001A0930"/>
    <w:rsid w:val="001A4ABF"/>
    <w:rsid w:val="001C2E8B"/>
    <w:rsid w:val="001D7B57"/>
    <w:rsid w:val="001E523D"/>
    <w:rsid w:val="001F5CC4"/>
    <w:rsid w:val="002027C5"/>
    <w:rsid w:val="00222237"/>
    <w:rsid w:val="002247D7"/>
    <w:rsid w:val="002418D4"/>
    <w:rsid w:val="002441C9"/>
    <w:rsid w:val="00251F13"/>
    <w:rsid w:val="002522EE"/>
    <w:rsid w:val="0026092F"/>
    <w:rsid w:val="002627BB"/>
    <w:rsid w:val="00267F54"/>
    <w:rsid w:val="002741BD"/>
    <w:rsid w:val="0027623C"/>
    <w:rsid w:val="0028115F"/>
    <w:rsid w:val="00282BB8"/>
    <w:rsid w:val="002857E9"/>
    <w:rsid w:val="00285A61"/>
    <w:rsid w:val="002865AF"/>
    <w:rsid w:val="00296C1A"/>
    <w:rsid w:val="002C5794"/>
    <w:rsid w:val="002C6785"/>
    <w:rsid w:val="002C6AC0"/>
    <w:rsid w:val="002E3F74"/>
    <w:rsid w:val="002E6084"/>
    <w:rsid w:val="003029E0"/>
    <w:rsid w:val="003121B3"/>
    <w:rsid w:val="00313DD0"/>
    <w:rsid w:val="00313FA3"/>
    <w:rsid w:val="00315AFC"/>
    <w:rsid w:val="00323D4F"/>
    <w:rsid w:val="00326299"/>
    <w:rsid w:val="0034261E"/>
    <w:rsid w:val="00344016"/>
    <w:rsid w:val="00344F69"/>
    <w:rsid w:val="00352D10"/>
    <w:rsid w:val="003630FE"/>
    <w:rsid w:val="00371E75"/>
    <w:rsid w:val="003750D8"/>
    <w:rsid w:val="003767F5"/>
    <w:rsid w:val="003769F4"/>
    <w:rsid w:val="00377C42"/>
    <w:rsid w:val="00381AFC"/>
    <w:rsid w:val="00384E32"/>
    <w:rsid w:val="00385A26"/>
    <w:rsid w:val="003A150F"/>
    <w:rsid w:val="003A6186"/>
    <w:rsid w:val="003A7F36"/>
    <w:rsid w:val="003B37B7"/>
    <w:rsid w:val="003B5C1E"/>
    <w:rsid w:val="003C1C36"/>
    <w:rsid w:val="003C43A1"/>
    <w:rsid w:val="003C44A4"/>
    <w:rsid w:val="003D3ACD"/>
    <w:rsid w:val="003D3E6E"/>
    <w:rsid w:val="003E0C06"/>
    <w:rsid w:val="003E61FC"/>
    <w:rsid w:val="003F6CDE"/>
    <w:rsid w:val="00402BD8"/>
    <w:rsid w:val="00406210"/>
    <w:rsid w:val="004168C0"/>
    <w:rsid w:val="00421859"/>
    <w:rsid w:val="004300D6"/>
    <w:rsid w:val="00437939"/>
    <w:rsid w:val="00441A41"/>
    <w:rsid w:val="004465A7"/>
    <w:rsid w:val="004506C4"/>
    <w:rsid w:val="00450D79"/>
    <w:rsid w:val="00457843"/>
    <w:rsid w:val="00465243"/>
    <w:rsid w:val="004656CC"/>
    <w:rsid w:val="00476CE6"/>
    <w:rsid w:val="00486790"/>
    <w:rsid w:val="004903C0"/>
    <w:rsid w:val="004A6669"/>
    <w:rsid w:val="004B3E66"/>
    <w:rsid w:val="004C12D3"/>
    <w:rsid w:val="004C2A47"/>
    <w:rsid w:val="004D159F"/>
    <w:rsid w:val="004E0184"/>
    <w:rsid w:val="004E0667"/>
    <w:rsid w:val="004E0C55"/>
    <w:rsid w:val="004F3CE6"/>
    <w:rsid w:val="004F4C72"/>
    <w:rsid w:val="004F62ED"/>
    <w:rsid w:val="004F6E5F"/>
    <w:rsid w:val="00505372"/>
    <w:rsid w:val="0051112B"/>
    <w:rsid w:val="00517071"/>
    <w:rsid w:val="00520CFD"/>
    <w:rsid w:val="00521A54"/>
    <w:rsid w:val="00525BCF"/>
    <w:rsid w:val="00526EC8"/>
    <w:rsid w:val="005320BE"/>
    <w:rsid w:val="00534D38"/>
    <w:rsid w:val="00543A6B"/>
    <w:rsid w:val="00543AE8"/>
    <w:rsid w:val="005524E8"/>
    <w:rsid w:val="00555FDE"/>
    <w:rsid w:val="00561793"/>
    <w:rsid w:val="00571BF5"/>
    <w:rsid w:val="00577361"/>
    <w:rsid w:val="005862D2"/>
    <w:rsid w:val="005939CD"/>
    <w:rsid w:val="005A1AC1"/>
    <w:rsid w:val="005A26C0"/>
    <w:rsid w:val="005A4255"/>
    <w:rsid w:val="005A4C23"/>
    <w:rsid w:val="005C4DD3"/>
    <w:rsid w:val="005C72F1"/>
    <w:rsid w:val="005D1E83"/>
    <w:rsid w:val="005E2553"/>
    <w:rsid w:val="005E40AB"/>
    <w:rsid w:val="005E4A0F"/>
    <w:rsid w:val="00626402"/>
    <w:rsid w:val="006270A7"/>
    <w:rsid w:val="00630705"/>
    <w:rsid w:val="00635802"/>
    <w:rsid w:val="0063649D"/>
    <w:rsid w:val="00652BDE"/>
    <w:rsid w:val="00657677"/>
    <w:rsid w:val="00671443"/>
    <w:rsid w:val="00672D5F"/>
    <w:rsid w:val="00672F3C"/>
    <w:rsid w:val="0068079E"/>
    <w:rsid w:val="00682DC0"/>
    <w:rsid w:val="00686693"/>
    <w:rsid w:val="00690BC5"/>
    <w:rsid w:val="006913B4"/>
    <w:rsid w:val="00697C76"/>
    <w:rsid w:val="006A20E6"/>
    <w:rsid w:val="006A5BD3"/>
    <w:rsid w:val="006A64F3"/>
    <w:rsid w:val="006A7EBC"/>
    <w:rsid w:val="006B16C5"/>
    <w:rsid w:val="006B3D9A"/>
    <w:rsid w:val="006B5A91"/>
    <w:rsid w:val="006C36E2"/>
    <w:rsid w:val="006D3236"/>
    <w:rsid w:val="006D7A7D"/>
    <w:rsid w:val="006E023C"/>
    <w:rsid w:val="006F0BA4"/>
    <w:rsid w:val="006F20B8"/>
    <w:rsid w:val="006F7B09"/>
    <w:rsid w:val="00700B6D"/>
    <w:rsid w:val="0070615F"/>
    <w:rsid w:val="00706733"/>
    <w:rsid w:val="00715619"/>
    <w:rsid w:val="007212A4"/>
    <w:rsid w:val="007221B1"/>
    <w:rsid w:val="007247E6"/>
    <w:rsid w:val="00726CAE"/>
    <w:rsid w:val="0072762F"/>
    <w:rsid w:val="0073448D"/>
    <w:rsid w:val="0073797A"/>
    <w:rsid w:val="00740CF4"/>
    <w:rsid w:val="0075063F"/>
    <w:rsid w:val="00757D16"/>
    <w:rsid w:val="007659D2"/>
    <w:rsid w:val="00766868"/>
    <w:rsid w:val="00773DDD"/>
    <w:rsid w:val="0078152D"/>
    <w:rsid w:val="00782249"/>
    <w:rsid w:val="00790C68"/>
    <w:rsid w:val="00791F25"/>
    <w:rsid w:val="00793F34"/>
    <w:rsid w:val="007A0A87"/>
    <w:rsid w:val="007A2BB0"/>
    <w:rsid w:val="007A3614"/>
    <w:rsid w:val="007A78BC"/>
    <w:rsid w:val="007B4FF5"/>
    <w:rsid w:val="007B516C"/>
    <w:rsid w:val="007E3741"/>
    <w:rsid w:val="007E636E"/>
    <w:rsid w:val="008029BF"/>
    <w:rsid w:val="00803F56"/>
    <w:rsid w:val="00807467"/>
    <w:rsid w:val="00820A80"/>
    <w:rsid w:val="0082226A"/>
    <w:rsid w:val="00822A7C"/>
    <w:rsid w:val="00822F67"/>
    <w:rsid w:val="0083312A"/>
    <w:rsid w:val="00833E16"/>
    <w:rsid w:val="00855922"/>
    <w:rsid w:val="00862B42"/>
    <w:rsid w:val="00863F57"/>
    <w:rsid w:val="00867664"/>
    <w:rsid w:val="00867D4C"/>
    <w:rsid w:val="008703CE"/>
    <w:rsid w:val="00881CF8"/>
    <w:rsid w:val="0088697A"/>
    <w:rsid w:val="0089139F"/>
    <w:rsid w:val="008937FC"/>
    <w:rsid w:val="00894F50"/>
    <w:rsid w:val="008A20E1"/>
    <w:rsid w:val="008A3538"/>
    <w:rsid w:val="008A5DBB"/>
    <w:rsid w:val="008B71B3"/>
    <w:rsid w:val="008D5971"/>
    <w:rsid w:val="008E753E"/>
    <w:rsid w:val="008F1A59"/>
    <w:rsid w:val="00907773"/>
    <w:rsid w:val="00922926"/>
    <w:rsid w:val="0092528F"/>
    <w:rsid w:val="00926DEA"/>
    <w:rsid w:val="00932927"/>
    <w:rsid w:val="0093385B"/>
    <w:rsid w:val="0094042F"/>
    <w:rsid w:val="00950333"/>
    <w:rsid w:val="009509C4"/>
    <w:rsid w:val="00953AB0"/>
    <w:rsid w:val="00963815"/>
    <w:rsid w:val="0096741D"/>
    <w:rsid w:val="00971A7E"/>
    <w:rsid w:val="009807BE"/>
    <w:rsid w:val="009811FA"/>
    <w:rsid w:val="0098222B"/>
    <w:rsid w:val="0098334D"/>
    <w:rsid w:val="009922BF"/>
    <w:rsid w:val="009927AD"/>
    <w:rsid w:val="009A2696"/>
    <w:rsid w:val="009C3541"/>
    <w:rsid w:val="009E57AA"/>
    <w:rsid w:val="009F2BDE"/>
    <w:rsid w:val="009F4171"/>
    <w:rsid w:val="00A01CBD"/>
    <w:rsid w:val="00A02634"/>
    <w:rsid w:val="00A04265"/>
    <w:rsid w:val="00A06D88"/>
    <w:rsid w:val="00A23A43"/>
    <w:rsid w:val="00A36330"/>
    <w:rsid w:val="00A57C45"/>
    <w:rsid w:val="00A66A53"/>
    <w:rsid w:val="00A7069B"/>
    <w:rsid w:val="00A74198"/>
    <w:rsid w:val="00A74BF1"/>
    <w:rsid w:val="00A80F4E"/>
    <w:rsid w:val="00A81DF9"/>
    <w:rsid w:val="00A826A5"/>
    <w:rsid w:val="00A93C59"/>
    <w:rsid w:val="00AA3248"/>
    <w:rsid w:val="00AA6393"/>
    <w:rsid w:val="00AB6FE7"/>
    <w:rsid w:val="00AC0916"/>
    <w:rsid w:val="00AC58F8"/>
    <w:rsid w:val="00AD2C47"/>
    <w:rsid w:val="00AD4758"/>
    <w:rsid w:val="00AD56FF"/>
    <w:rsid w:val="00AD577D"/>
    <w:rsid w:val="00AE26E1"/>
    <w:rsid w:val="00AE3A55"/>
    <w:rsid w:val="00AF0EA5"/>
    <w:rsid w:val="00B00E20"/>
    <w:rsid w:val="00B10545"/>
    <w:rsid w:val="00B136B5"/>
    <w:rsid w:val="00B21D50"/>
    <w:rsid w:val="00B24A89"/>
    <w:rsid w:val="00B264A8"/>
    <w:rsid w:val="00B369F5"/>
    <w:rsid w:val="00B401A5"/>
    <w:rsid w:val="00B44208"/>
    <w:rsid w:val="00B4729F"/>
    <w:rsid w:val="00B547A8"/>
    <w:rsid w:val="00B550DC"/>
    <w:rsid w:val="00B60A57"/>
    <w:rsid w:val="00B6186C"/>
    <w:rsid w:val="00B61A16"/>
    <w:rsid w:val="00B638F1"/>
    <w:rsid w:val="00B6679E"/>
    <w:rsid w:val="00B702CB"/>
    <w:rsid w:val="00B70345"/>
    <w:rsid w:val="00B77751"/>
    <w:rsid w:val="00B80B20"/>
    <w:rsid w:val="00B80E71"/>
    <w:rsid w:val="00B82124"/>
    <w:rsid w:val="00B9197B"/>
    <w:rsid w:val="00BA03F7"/>
    <w:rsid w:val="00BA202A"/>
    <w:rsid w:val="00BA5772"/>
    <w:rsid w:val="00BB0A09"/>
    <w:rsid w:val="00BB540F"/>
    <w:rsid w:val="00BB633A"/>
    <w:rsid w:val="00BB6B7E"/>
    <w:rsid w:val="00BC052F"/>
    <w:rsid w:val="00BC477A"/>
    <w:rsid w:val="00BD0FE6"/>
    <w:rsid w:val="00BD33B0"/>
    <w:rsid w:val="00BE5664"/>
    <w:rsid w:val="00BE5B70"/>
    <w:rsid w:val="00C01826"/>
    <w:rsid w:val="00C15D1D"/>
    <w:rsid w:val="00C22167"/>
    <w:rsid w:val="00C247B4"/>
    <w:rsid w:val="00C24910"/>
    <w:rsid w:val="00C3077A"/>
    <w:rsid w:val="00C36FA9"/>
    <w:rsid w:val="00C4197E"/>
    <w:rsid w:val="00C44679"/>
    <w:rsid w:val="00C454DB"/>
    <w:rsid w:val="00C50513"/>
    <w:rsid w:val="00C54C91"/>
    <w:rsid w:val="00C61C49"/>
    <w:rsid w:val="00C65B9A"/>
    <w:rsid w:val="00C84588"/>
    <w:rsid w:val="00C97C7E"/>
    <w:rsid w:val="00CB5738"/>
    <w:rsid w:val="00CB688B"/>
    <w:rsid w:val="00CC5BE8"/>
    <w:rsid w:val="00CC60A1"/>
    <w:rsid w:val="00CD20C8"/>
    <w:rsid w:val="00CD3D83"/>
    <w:rsid w:val="00CE0B5D"/>
    <w:rsid w:val="00CE3454"/>
    <w:rsid w:val="00CF560C"/>
    <w:rsid w:val="00D01027"/>
    <w:rsid w:val="00D0744C"/>
    <w:rsid w:val="00D2346D"/>
    <w:rsid w:val="00D32DC2"/>
    <w:rsid w:val="00D33C28"/>
    <w:rsid w:val="00D37AF1"/>
    <w:rsid w:val="00D42A09"/>
    <w:rsid w:val="00D47DB6"/>
    <w:rsid w:val="00D52C15"/>
    <w:rsid w:val="00D56452"/>
    <w:rsid w:val="00D6122D"/>
    <w:rsid w:val="00D61D23"/>
    <w:rsid w:val="00D72E44"/>
    <w:rsid w:val="00D73C2B"/>
    <w:rsid w:val="00D90E71"/>
    <w:rsid w:val="00D97E26"/>
    <w:rsid w:val="00DA58E7"/>
    <w:rsid w:val="00DA59F4"/>
    <w:rsid w:val="00DB0E0F"/>
    <w:rsid w:val="00DB6A22"/>
    <w:rsid w:val="00DC2D54"/>
    <w:rsid w:val="00DC60F9"/>
    <w:rsid w:val="00DD0CAC"/>
    <w:rsid w:val="00DD131E"/>
    <w:rsid w:val="00DD2A7B"/>
    <w:rsid w:val="00DD492C"/>
    <w:rsid w:val="00DD61C2"/>
    <w:rsid w:val="00DE77DF"/>
    <w:rsid w:val="00DF5D7A"/>
    <w:rsid w:val="00DF6487"/>
    <w:rsid w:val="00DF73B0"/>
    <w:rsid w:val="00E11653"/>
    <w:rsid w:val="00E12049"/>
    <w:rsid w:val="00E120B6"/>
    <w:rsid w:val="00E120BA"/>
    <w:rsid w:val="00E16EE6"/>
    <w:rsid w:val="00E2150B"/>
    <w:rsid w:val="00E22E7D"/>
    <w:rsid w:val="00E25C49"/>
    <w:rsid w:val="00E4308A"/>
    <w:rsid w:val="00E45685"/>
    <w:rsid w:val="00E653AD"/>
    <w:rsid w:val="00E670C4"/>
    <w:rsid w:val="00E673BD"/>
    <w:rsid w:val="00E841DB"/>
    <w:rsid w:val="00E84201"/>
    <w:rsid w:val="00EA6511"/>
    <w:rsid w:val="00EB2BED"/>
    <w:rsid w:val="00EB74BD"/>
    <w:rsid w:val="00EC607F"/>
    <w:rsid w:val="00ED12D3"/>
    <w:rsid w:val="00ED76FE"/>
    <w:rsid w:val="00EE7E34"/>
    <w:rsid w:val="00EE7FBA"/>
    <w:rsid w:val="00F033D4"/>
    <w:rsid w:val="00F07CFB"/>
    <w:rsid w:val="00F154E7"/>
    <w:rsid w:val="00F172DB"/>
    <w:rsid w:val="00F26029"/>
    <w:rsid w:val="00F26F85"/>
    <w:rsid w:val="00F35A44"/>
    <w:rsid w:val="00F37CE6"/>
    <w:rsid w:val="00F4392F"/>
    <w:rsid w:val="00F45E00"/>
    <w:rsid w:val="00F563D7"/>
    <w:rsid w:val="00F601EE"/>
    <w:rsid w:val="00F64F74"/>
    <w:rsid w:val="00F74E64"/>
    <w:rsid w:val="00F75207"/>
    <w:rsid w:val="00F961FD"/>
    <w:rsid w:val="00FB6E20"/>
    <w:rsid w:val="00FC1353"/>
    <w:rsid w:val="00FC579F"/>
    <w:rsid w:val="00FC649A"/>
    <w:rsid w:val="00FD5ACB"/>
    <w:rsid w:val="00FD7D0B"/>
    <w:rsid w:val="00FE201C"/>
    <w:rsid w:val="00FE2E41"/>
    <w:rsid w:val="00FE5280"/>
    <w:rsid w:val="00FE79F4"/>
    <w:rsid w:val="00FF52A1"/>
    <w:rsid w:val="00FF7768"/>
    <w:rsid w:val="33F5011E"/>
    <w:rsid w:val="6D7CD820"/>
    <w:rsid w:val="6EFFABD5"/>
    <w:rsid w:val="6FFBB945"/>
    <w:rsid w:val="7C316EBC"/>
    <w:rsid w:val="7D1EF12E"/>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B4BF1D"/>
  <w15:docId w15:val="{A5DA5A9D-9BB2-4023-9C46-7C46FAB53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pl-PL" w:eastAsia="pl-P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pPr>
      <w:spacing w:after="160" w:line="259" w:lineRule="auto"/>
    </w:pPr>
    <w:rPr>
      <w:rFonts w:asciiTheme="minorHAnsi" w:eastAsiaTheme="minorHAnsi" w:hAnsiTheme="minorHAnsi" w:cstheme="minorBidi"/>
      <w:sz w:val="22"/>
      <w:szCs w:val="22"/>
      <w:lang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qFormat/>
    <w:pPr>
      <w:spacing w:after="0" w:line="240" w:lineRule="auto"/>
    </w:pPr>
    <w:rPr>
      <w:rFonts w:ascii="Tahoma" w:hAnsi="Tahoma" w:cs="Tahoma"/>
      <w:sz w:val="16"/>
      <w:szCs w:val="16"/>
    </w:rPr>
  </w:style>
  <w:style w:type="character" w:styleId="Odwoaniedokomentarza">
    <w:name w:val="annotation reference"/>
    <w:basedOn w:val="Domylnaczcionkaakapitu"/>
    <w:uiPriority w:val="99"/>
    <w:semiHidden/>
    <w:unhideWhenUsed/>
    <w:qFormat/>
    <w:rPr>
      <w:sz w:val="16"/>
      <w:szCs w:val="16"/>
    </w:rPr>
  </w:style>
  <w:style w:type="paragraph" w:styleId="Tekstkomentarza">
    <w:name w:val="annotation text"/>
    <w:basedOn w:val="Normalny"/>
    <w:link w:val="TekstkomentarzaZnak"/>
    <w:uiPriority w:val="99"/>
    <w:semiHidden/>
    <w:unhideWhenUsed/>
    <w:qFormat/>
    <w:pPr>
      <w:spacing w:line="240" w:lineRule="auto"/>
    </w:pPr>
    <w:rPr>
      <w:sz w:val="20"/>
      <w:szCs w:val="20"/>
    </w:rPr>
  </w:style>
  <w:style w:type="paragraph" w:styleId="Tematkomentarza">
    <w:name w:val="annotation subject"/>
    <w:basedOn w:val="Tekstkomentarza"/>
    <w:next w:val="Tekstkomentarza"/>
    <w:link w:val="TematkomentarzaZnak"/>
    <w:uiPriority w:val="99"/>
    <w:semiHidden/>
    <w:unhideWhenUsed/>
    <w:qFormat/>
    <w:rPr>
      <w:b/>
      <w:bCs/>
    </w:rPr>
  </w:style>
  <w:style w:type="character" w:styleId="Uwydatnienie">
    <w:name w:val="Emphasis"/>
    <w:basedOn w:val="Domylnaczcionkaakapitu"/>
    <w:uiPriority w:val="20"/>
    <w:qFormat/>
    <w:rPr>
      <w:i/>
      <w:iCs/>
    </w:rPr>
  </w:style>
  <w:style w:type="paragraph" w:styleId="Stopka">
    <w:name w:val="footer"/>
    <w:basedOn w:val="Normalny"/>
    <w:link w:val="StopkaZnak"/>
    <w:uiPriority w:val="99"/>
    <w:unhideWhenUsed/>
    <w:qFormat/>
    <w:pPr>
      <w:tabs>
        <w:tab w:val="center" w:pos="4536"/>
        <w:tab w:val="right" w:pos="9072"/>
      </w:tabs>
      <w:spacing w:after="0" w:line="240" w:lineRule="auto"/>
    </w:pPr>
  </w:style>
  <w:style w:type="paragraph" w:styleId="Nagwek">
    <w:name w:val="header"/>
    <w:basedOn w:val="Normalny"/>
    <w:link w:val="NagwekZnak"/>
    <w:uiPriority w:val="99"/>
    <w:unhideWhenUsed/>
    <w:qFormat/>
    <w:pPr>
      <w:tabs>
        <w:tab w:val="center" w:pos="4536"/>
        <w:tab w:val="right" w:pos="9072"/>
      </w:tabs>
      <w:spacing w:after="0" w:line="240" w:lineRule="auto"/>
    </w:pPr>
  </w:style>
  <w:style w:type="paragraph" w:styleId="HTML-wstpniesformatowany">
    <w:name w:val="HTML Preformatted"/>
    <w:basedOn w:val="Normalny"/>
    <w:link w:val="HTML-wstpniesformatowanyZnak"/>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styleId="Hipercze">
    <w:name w:val="Hyperlink"/>
    <w:basedOn w:val="Domylnaczcionkaakapitu"/>
    <w:uiPriority w:val="99"/>
    <w:semiHidden/>
    <w:unhideWhenUsed/>
    <w:qFormat/>
    <w:rPr>
      <w:color w:val="0000FF"/>
      <w:u w:val="single"/>
    </w:rPr>
  </w:style>
  <w:style w:type="character" w:styleId="Numerwiersza">
    <w:name w:val="line number"/>
    <w:basedOn w:val="Domylnaczcionkaakapitu"/>
    <w:uiPriority w:val="99"/>
    <w:semiHidden/>
    <w:unhideWhenUsed/>
    <w:qFormat/>
  </w:style>
  <w:style w:type="paragraph" w:styleId="NormalnyWeb">
    <w:name w:val="Normal (Web)"/>
    <w:basedOn w:val="Normalny"/>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Pr>
      <w:b/>
      <w:bCs/>
    </w:rPr>
  </w:style>
  <w:style w:type="character" w:customStyle="1" w:styleId="HTML-wstpniesformatowanyZnak">
    <w:name w:val="HTML - wstępnie sformatowany Znak"/>
    <w:basedOn w:val="Domylnaczcionkaakapitu"/>
    <w:link w:val="HTML-wstpniesformatowany"/>
    <w:uiPriority w:val="99"/>
    <w:qFormat/>
    <w:rPr>
      <w:rFonts w:ascii="Courier New" w:eastAsia="Times New Roman" w:hAnsi="Courier New" w:cs="Courier New"/>
      <w:sz w:val="20"/>
      <w:szCs w:val="20"/>
      <w:lang w:eastAsia="pl-PL"/>
    </w:rPr>
  </w:style>
  <w:style w:type="character" w:customStyle="1" w:styleId="gnkrckgcgsb">
    <w:name w:val="gnkrckgcgsb"/>
    <w:basedOn w:val="Domylnaczcionkaakapitu"/>
    <w:qFormat/>
  </w:style>
  <w:style w:type="character" w:customStyle="1" w:styleId="gnkrckgcmsb">
    <w:name w:val="gnkrckgcmsb"/>
    <w:basedOn w:val="Domylnaczcionkaakapitu"/>
    <w:qFormat/>
  </w:style>
  <w:style w:type="character" w:customStyle="1" w:styleId="gnkrckgcmrb">
    <w:name w:val="gnkrckgcmrb"/>
    <w:basedOn w:val="Domylnaczcionkaakapitu"/>
    <w:qFormat/>
  </w:style>
  <w:style w:type="character" w:customStyle="1" w:styleId="TekstdymkaZnak">
    <w:name w:val="Tekst dymka Znak"/>
    <w:basedOn w:val="Domylnaczcionkaakapitu"/>
    <w:link w:val="Tekstdymka"/>
    <w:uiPriority w:val="99"/>
    <w:semiHidden/>
    <w:qFormat/>
    <w:rPr>
      <w:rFonts w:ascii="Tahoma" w:hAnsi="Tahoma" w:cs="Tahoma"/>
      <w:sz w:val="16"/>
      <w:szCs w:val="16"/>
    </w:rPr>
  </w:style>
  <w:style w:type="character" w:customStyle="1" w:styleId="TekstkomentarzaZnak">
    <w:name w:val="Tekst komentarza Znak"/>
    <w:basedOn w:val="Domylnaczcionkaakapitu"/>
    <w:link w:val="Tekstkomentarza"/>
    <w:uiPriority w:val="99"/>
    <w:semiHidden/>
    <w:qFormat/>
    <w:rPr>
      <w:sz w:val="20"/>
      <w:szCs w:val="20"/>
    </w:rPr>
  </w:style>
  <w:style w:type="character" w:customStyle="1" w:styleId="TematkomentarzaZnak">
    <w:name w:val="Temat komentarza Znak"/>
    <w:basedOn w:val="TekstkomentarzaZnak"/>
    <w:link w:val="Tematkomentarza"/>
    <w:uiPriority w:val="99"/>
    <w:semiHidden/>
    <w:qFormat/>
    <w:rPr>
      <w:b/>
      <w:bCs/>
      <w:sz w:val="20"/>
      <w:szCs w:val="20"/>
    </w:rPr>
  </w:style>
  <w:style w:type="character" w:customStyle="1" w:styleId="NagwekZnak">
    <w:name w:val="Nagłówek Znak"/>
    <w:basedOn w:val="Domylnaczcionkaakapitu"/>
    <w:link w:val="Nagwek"/>
    <w:uiPriority w:val="99"/>
    <w:qFormat/>
  </w:style>
  <w:style w:type="character" w:customStyle="1" w:styleId="StopkaZnak">
    <w:name w:val="Stopka Znak"/>
    <w:basedOn w:val="Domylnaczcionkaakapitu"/>
    <w:link w:val="Stopka"/>
    <w:uiPriority w:val="99"/>
    <w:qFormat/>
  </w:style>
  <w:style w:type="character" w:customStyle="1" w:styleId="mi">
    <w:name w:val="mi"/>
    <w:basedOn w:val="Domylnaczcionkaakapitu"/>
    <w:qFormat/>
  </w:style>
  <w:style w:type="character" w:customStyle="1" w:styleId="mtext">
    <w:name w:val="mtext"/>
    <w:basedOn w:val="Domylnaczcionkaakapitu"/>
    <w:qFormat/>
  </w:style>
  <w:style w:type="character" w:customStyle="1" w:styleId="mo">
    <w:name w:val="mo"/>
    <w:basedOn w:val="Domylnaczcionkaakapitu"/>
    <w:qFormat/>
  </w:style>
  <w:style w:type="character" w:customStyle="1" w:styleId="mn">
    <w:name w:val="mn"/>
    <w:basedOn w:val="Domylnaczcionkaakapitu"/>
    <w:qFormat/>
  </w:style>
  <w:style w:type="paragraph" w:styleId="Akapitzlist">
    <w:name w:val="List Paragraph"/>
    <w:basedOn w:val="Normalny"/>
    <w:uiPriority w:val="34"/>
    <w:qFormat/>
    <w:pPr>
      <w:ind w:left="720"/>
      <w:contextualSpacing/>
    </w:pPr>
  </w:style>
  <w:style w:type="paragraph" w:customStyle="1" w:styleId="Poprawka1">
    <w:name w:val="Poprawka1"/>
    <w:hidden/>
    <w:uiPriority w:val="99"/>
    <w:semiHidden/>
    <w:qFormat/>
    <w:rPr>
      <w:rFonts w:asciiTheme="minorHAnsi" w:eastAsiaTheme="minorHAnsi" w:hAnsiTheme="minorHAnsi" w:cstheme="minorBidi"/>
      <w:sz w:val="22"/>
      <w:szCs w:val="22"/>
      <w:lang w:eastAsia="en-US"/>
    </w:rPr>
  </w:style>
  <w:style w:type="table" w:customStyle="1" w:styleId="Tabelasiatki1jasna1">
    <w:name w:val="Tabela siatki 1 — jasna1"/>
    <w:basedOn w:val="Standardowy"/>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05FD7D-0C27-4A54-8187-624667DB7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25</Pages>
  <Words>31139</Words>
  <Characters>186834</Characters>
  <Application>Microsoft Office Word</Application>
  <DocSecurity>0</DocSecurity>
  <Lines>1556</Lines>
  <Paragraphs>435</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217538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Kasia Wojczulanis</dc:creator>
  <cp:lastModifiedBy>Kasia Wojczulanis</cp:lastModifiedBy>
  <cp:revision>45</cp:revision>
  <dcterms:created xsi:type="dcterms:W3CDTF">2019-11-07T22:12:00Z</dcterms:created>
  <dcterms:modified xsi:type="dcterms:W3CDTF">2022-03-27T17:43:00Z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http://www.zotero.org/styles/animal-behaviour</vt:lpwstr>
  </property>
  <property fmtid="{D5CDD505-2E9C-101B-9397-08002B2CF9AE}" pid="3" name="Mendeley Recent Style Name 0_1">
    <vt:lpwstr>Animal Behaviour</vt:lpwstr>
  </property>
  <property fmtid="{D5CDD505-2E9C-101B-9397-08002B2CF9AE}" pid="4" name="Mendeley Recent Style Id 1_1">
    <vt:lpwstr>http://www.zotero.org/styles/behavioral-ecology-and-sociobiology</vt:lpwstr>
  </property>
  <property fmtid="{D5CDD505-2E9C-101B-9397-08002B2CF9AE}" pid="5" name="Mendeley Recent Style Name 1_1">
    <vt:lpwstr>Behavioral Ecology and Sociobiology</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http://www.zotero.org/styles/polar-science</vt:lpwstr>
  </property>
  <property fmtid="{D5CDD505-2E9C-101B-9397-08002B2CF9AE}" pid="13" name="Mendeley Recent Style Name 5_1">
    <vt:lpwstr>Polar Science</vt:lpwstr>
  </property>
  <property fmtid="{D5CDD505-2E9C-101B-9397-08002B2CF9AE}" pid="14" name="Mendeley Recent Style Id 6_1">
    <vt:lpwstr>http://www.zotero.org/styles/scientific-reports</vt:lpwstr>
  </property>
  <property fmtid="{D5CDD505-2E9C-101B-9397-08002B2CF9AE}" pid="15" name="Mendeley Recent Style Name 6_1">
    <vt:lpwstr>Scientific Reports</vt:lpwstr>
  </property>
  <property fmtid="{D5CDD505-2E9C-101B-9397-08002B2CF9AE}" pid="16" name="Mendeley Recent Style Id 7_1">
    <vt:lpwstr>http://www.zotero.org/styles/taylor-and-francis-harvard-v</vt:lpwstr>
  </property>
  <property fmtid="{D5CDD505-2E9C-101B-9397-08002B2CF9AE}" pid="17" name="Mendeley Recent Style Name 7_1">
    <vt:lpwstr>Taylor &amp; Francis - Harvard V</vt:lpwstr>
  </property>
  <property fmtid="{D5CDD505-2E9C-101B-9397-08002B2CF9AE}" pid="18" name="Mendeley Recent Style Id 8_1">
    <vt:lpwstr>http://www.zotero.org/styles/zoological-journal-of-the-linnean-society</vt:lpwstr>
  </property>
  <property fmtid="{D5CDD505-2E9C-101B-9397-08002B2CF9AE}" pid="19" name="Mendeley Recent Style Name 8_1">
    <vt:lpwstr>Zoological Journal of the Linnean Society</vt:lpwstr>
  </property>
  <property fmtid="{D5CDD505-2E9C-101B-9397-08002B2CF9AE}" pid="20" name="Mendeley Recent Style Id 9_1">
    <vt:lpwstr>http://www.zotero.org/styles/elife</vt:lpwstr>
  </property>
  <property fmtid="{D5CDD505-2E9C-101B-9397-08002B2CF9AE}" pid="21" name="Mendeley Recent Style Name 9_1">
    <vt:lpwstr>eLife</vt:lpwstr>
  </property>
  <property fmtid="{D5CDD505-2E9C-101B-9397-08002B2CF9AE}" pid="22" name="Mendeley Document_1">
    <vt:lpwstr>True</vt:lpwstr>
  </property>
  <property fmtid="{D5CDD505-2E9C-101B-9397-08002B2CF9AE}" pid="23" name="Mendeley Unique User Id_1">
    <vt:lpwstr>318543f5-356a-3da6-a836-263648243536</vt:lpwstr>
  </property>
  <property fmtid="{D5CDD505-2E9C-101B-9397-08002B2CF9AE}" pid="24" name="Mendeley Citation Style_1">
    <vt:lpwstr>http://www.zotero.org/styles/behavioral-ecology-and-sociobiology</vt:lpwstr>
  </property>
  <property fmtid="{D5CDD505-2E9C-101B-9397-08002B2CF9AE}" pid="25" name="KSOProductBuildVer">
    <vt:lpwstr>1033-11.1.0.10920</vt:lpwstr>
  </property>
</Properties>
</file>