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3542" w14:textId="058E7C1D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 xml:space="preserve">Cover </w:t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 xml:space="preserve">Letter </w:t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  </w:t>
      </w:r>
      <w:r w:rsidR="0055766C" w:rsidRPr="0055766C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867AE8" w:rsidRPr="00557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766C" w:rsidRPr="0055766C">
        <w:rPr>
          <w:rFonts w:ascii="Times New Roman" w:hAnsi="Times New Roman" w:cs="Times New Roman"/>
          <w:sz w:val="24"/>
          <w:szCs w:val="24"/>
          <w:lang w:val="en-GB"/>
        </w:rPr>
        <w:t xml:space="preserve">December </w:t>
      </w:r>
      <w:r w:rsidR="00BB62A4" w:rsidRPr="0055766C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55766C">
        <w:rPr>
          <w:rFonts w:ascii="Times New Roman" w:hAnsi="Times New Roman" w:cs="Times New Roman"/>
          <w:sz w:val="24"/>
          <w:szCs w:val="24"/>
          <w:lang w:val="en-GB"/>
        </w:rPr>
        <w:t>02</w:t>
      </w:r>
      <w:r w:rsidR="00BB62A4" w:rsidRPr="0055766C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14:paraId="119616F2" w14:textId="77777777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FAFFF4" w14:textId="77777777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Dear Editor,</w:t>
      </w:r>
    </w:p>
    <w:p w14:paraId="493A1CC4" w14:textId="77777777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56E5EF9" w14:textId="5F9221E8" w:rsidR="007B33CC" w:rsidRPr="00AA204E" w:rsidRDefault="007B33CC" w:rsidP="00AA204E">
      <w:pPr>
        <w:pStyle w:val="NormalnyWeb"/>
        <w:spacing w:before="0" w:beforeAutospacing="0" w:after="0" w:afterAutospacing="0" w:line="276" w:lineRule="auto"/>
        <w:jc w:val="both"/>
        <w:rPr>
          <w:lang w:val="en-GB"/>
        </w:rPr>
      </w:pPr>
      <w:r w:rsidRPr="00AA204E">
        <w:rPr>
          <w:lang w:val="en-GB"/>
        </w:rPr>
        <w:t>On behalf of myself and co-author, I would like to kindly ask you to consider the manuscript entitled “</w:t>
      </w:r>
      <w:r w:rsidRPr="00AA204E">
        <w:rPr>
          <w:b/>
          <w:lang w:val="en-GB"/>
        </w:rPr>
        <w:t xml:space="preserve">Foraging, fear and behavioural </w:t>
      </w:r>
      <w:r w:rsidR="0055766C">
        <w:rPr>
          <w:b/>
          <w:lang w:val="en-GB"/>
        </w:rPr>
        <w:t>variation</w:t>
      </w:r>
      <w:r w:rsidRPr="00AA204E">
        <w:rPr>
          <w:b/>
          <w:lang w:val="en-GB"/>
        </w:rPr>
        <w:t>, a lesson from hummingbirds”</w:t>
      </w:r>
      <w:r w:rsidRPr="00AA204E">
        <w:rPr>
          <w:lang w:val="en-GB"/>
        </w:rPr>
        <w:t xml:space="preserve">  for publication in </w:t>
      </w:r>
      <w:r w:rsidR="0055766C">
        <w:rPr>
          <w:lang w:val="en-GB"/>
        </w:rPr>
        <w:t>IBIS</w:t>
      </w:r>
      <w:r w:rsidRPr="00AA204E">
        <w:rPr>
          <w:lang w:val="en-GB"/>
        </w:rPr>
        <w:t xml:space="preserve">. The </w:t>
      </w:r>
      <w:r w:rsidR="0055766C">
        <w:rPr>
          <w:lang w:val="en-GB"/>
        </w:rPr>
        <w:t xml:space="preserve">study benefited of </w:t>
      </w:r>
      <w:r w:rsidR="0055766C">
        <w:rPr>
          <w:rFonts w:cstheme="minorHAnsi"/>
          <w:lang w:val="en-GB"/>
        </w:rPr>
        <w:t>Small Research Grant of British Ornithological Union (to K</w:t>
      </w:r>
      <w:r w:rsidR="0055766C">
        <w:rPr>
          <w:rFonts w:cstheme="minorHAnsi"/>
          <w:lang w:val="en-GB"/>
        </w:rPr>
        <w:t xml:space="preserve">atarzyna Wojczulanis-Jakubas; acknowledged). </w:t>
      </w:r>
      <w:r w:rsidR="0055766C">
        <w:rPr>
          <w:lang w:val="en-GB"/>
        </w:rPr>
        <w:t xml:space="preserve">The </w:t>
      </w:r>
      <w:r w:rsidRPr="00AA204E">
        <w:rPr>
          <w:lang w:val="en-GB"/>
        </w:rPr>
        <w:t xml:space="preserve">manuscript explores foraging efficiency of </w:t>
      </w:r>
      <w:r w:rsidR="00AA204E">
        <w:rPr>
          <w:lang w:val="en-GB"/>
        </w:rPr>
        <w:t xml:space="preserve">the </w:t>
      </w:r>
      <w:r w:rsidRPr="00AA204E">
        <w:rPr>
          <w:lang w:val="en-GB"/>
        </w:rPr>
        <w:t xml:space="preserve">long-billed hermit hummingbird (LBH, </w:t>
      </w:r>
      <w:r w:rsidRPr="00AA204E">
        <w:rPr>
          <w:i/>
          <w:lang w:val="en-GB"/>
        </w:rPr>
        <w:t>Phaethornis longirostris</w:t>
      </w:r>
      <w:r w:rsidRPr="00AA204E">
        <w:rPr>
          <w:lang w:val="en-GB"/>
        </w:rPr>
        <w:t xml:space="preserve">) in the context of high and low perceived risk of predation, and in respect to birds exploratory behaviour, risk-avoidance and arousal. We </w:t>
      </w:r>
      <w:r w:rsidR="00AA204E">
        <w:rPr>
          <w:lang w:val="en-GB"/>
        </w:rPr>
        <w:t xml:space="preserve">show </w:t>
      </w:r>
      <w:r w:rsidRPr="00AA204E">
        <w:rPr>
          <w:lang w:val="en-GB"/>
        </w:rPr>
        <w:t>that foraging efficiency decreases in response to threatening conditions, and birds behavioural performance affect</w:t>
      </w:r>
      <w:r w:rsidR="00AA204E" w:rsidRPr="00AA204E">
        <w:rPr>
          <w:lang w:val="en-GB"/>
        </w:rPr>
        <w:t xml:space="preserve">s </w:t>
      </w:r>
      <w:r w:rsidRPr="00AA204E">
        <w:rPr>
          <w:lang w:val="en-GB"/>
        </w:rPr>
        <w:t>their foraging efficiency</w:t>
      </w:r>
      <w:r w:rsidR="00AA204E">
        <w:rPr>
          <w:lang w:val="en-GB"/>
        </w:rPr>
        <w:t>. What is even more interesting, we show that birds behaviour affects foraging efficiency in context-</w:t>
      </w:r>
      <w:r w:rsidR="00AA204E" w:rsidRPr="00AA204E">
        <w:rPr>
          <w:lang w:val="en-GB"/>
        </w:rPr>
        <w:t xml:space="preserve">dependent manner. </w:t>
      </w:r>
      <w:r w:rsidR="00AA204E">
        <w:rPr>
          <w:lang w:val="en-GB"/>
        </w:rPr>
        <w:t xml:space="preserve">Our results, based on a bird species of extremely high energy demands, </w:t>
      </w:r>
      <w:r w:rsidR="00AA204E" w:rsidRPr="00AA204E">
        <w:rPr>
          <w:lang w:val="en-GB"/>
        </w:rPr>
        <w:t>provide excellent support for the risk-allocation hypothesis</w:t>
      </w:r>
      <w:r w:rsidR="00AA204E">
        <w:rPr>
          <w:lang w:val="en-GB"/>
        </w:rPr>
        <w:t>, RAH (and paradox of RAH)</w:t>
      </w:r>
      <w:r w:rsidR="00AA204E" w:rsidRPr="00AA204E">
        <w:rPr>
          <w:lang w:val="en-GB"/>
        </w:rPr>
        <w:t xml:space="preserve">, and also </w:t>
      </w:r>
      <w:r w:rsidRPr="00AA204E">
        <w:rPr>
          <w:lang w:val="en-GB"/>
        </w:rPr>
        <w:t>highlight the importance of behavioural variability in shaping evolution of foraging strategy.</w:t>
      </w:r>
      <w:r w:rsidR="00AA204E" w:rsidRPr="00AA204E">
        <w:rPr>
          <w:lang w:val="en-GB"/>
        </w:rPr>
        <w:t xml:space="preserve"> I </w:t>
      </w:r>
      <w:r w:rsidRPr="00AA204E">
        <w:rPr>
          <w:lang w:val="en-GB"/>
        </w:rPr>
        <w:t xml:space="preserve">believe </w:t>
      </w:r>
      <w:r w:rsidR="00AA204E" w:rsidRPr="00AA204E">
        <w:rPr>
          <w:lang w:val="en-GB"/>
        </w:rPr>
        <w:t xml:space="preserve">that the </w:t>
      </w:r>
      <w:r w:rsidRPr="00AA204E">
        <w:rPr>
          <w:lang w:val="en-GB"/>
        </w:rPr>
        <w:t xml:space="preserve">manuscript provides </w:t>
      </w:r>
      <w:r w:rsidR="00AA204E" w:rsidRPr="00AA204E">
        <w:rPr>
          <w:lang w:val="en-GB"/>
        </w:rPr>
        <w:t xml:space="preserve">results that are interesting for a broad range of readers of </w:t>
      </w:r>
      <w:r w:rsidR="0055766C">
        <w:rPr>
          <w:lang w:val="en-GB"/>
        </w:rPr>
        <w:t>IBIS</w:t>
      </w:r>
      <w:r w:rsidR="00AA204E" w:rsidRPr="00AA204E">
        <w:rPr>
          <w:lang w:val="en-GB"/>
        </w:rPr>
        <w:t xml:space="preserve">. </w:t>
      </w:r>
      <w:r w:rsidRPr="00AA204E">
        <w:rPr>
          <w:lang w:val="en-GB"/>
        </w:rPr>
        <w:t xml:space="preserve">I declare no conflict of interests and that manuscript </w:t>
      </w:r>
      <w:r w:rsidR="00AA204E" w:rsidRPr="00AA204E">
        <w:rPr>
          <w:lang w:val="en-GB"/>
        </w:rPr>
        <w:t xml:space="preserve">is not considered in any other journal, neither </w:t>
      </w:r>
      <w:r w:rsidRPr="00AA204E">
        <w:rPr>
          <w:lang w:val="en-GB"/>
        </w:rPr>
        <w:t>contain material</w:t>
      </w:r>
      <w:r w:rsidR="00AA204E" w:rsidRPr="00AA204E">
        <w:rPr>
          <w:lang w:val="en-GB"/>
        </w:rPr>
        <w:t>s</w:t>
      </w:r>
      <w:r w:rsidRPr="00AA204E">
        <w:rPr>
          <w:lang w:val="en-GB"/>
        </w:rPr>
        <w:t xml:space="preserve"> with copyrights.</w:t>
      </w:r>
    </w:p>
    <w:p w14:paraId="063E5326" w14:textId="77777777" w:rsidR="00AA204E" w:rsidRPr="00AA204E" w:rsidRDefault="00AA204E" w:rsidP="00AA204E">
      <w:pPr>
        <w:pStyle w:val="NormalnyWeb"/>
        <w:spacing w:before="0" w:beforeAutospacing="0" w:after="0" w:afterAutospacing="0" w:line="276" w:lineRule="auto"/>
        <w:jc w:val="both"/>
        <w:rPr>
          <w:b/>
          <w:lang w:val="en-GB"/>
        </w:rPr>
      </w:pPr>
    </w:p>
    <w:p w14:paraId="2008805E" w14:textId="77777777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Thank you in advance for your time with the manuscript.</w:t>
      </w:r>
    </w:p>
    <w:p w14:paraId="01316C65" w14:textId="77777777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Looking forward to hearing from you soon.</w:t>
      </w:r>
    </w:p>
    <w:p w14:paraId="601814CA" w14:textId="77777777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6E268C5" w14:textId="77777777" w:rsidR="007B33CC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Sincerely yours,</w:t>
      </w:r>
    </w:p>
    <w:p w14:paraId="06DA1547" w14:textId="77777777" w:rsidR="00AA204E" w:rsidRPr="00AA204E" w:rsidRDefault="00AA204E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3CD6FA4" wp14:editId="1B409B41">
            <wp:extent cx="1803400" cy="135255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ój podpi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684" cy="13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F1BF" w14:textId="77777777" w:rsidR="007B33CC" w:rsidRPr="0055766C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66C">
        <w:rPr>
          <w:rFonts w:ascii="Times New Roman" w:hAnsi="Times New Roman" w:cs="Times New Roman"/>
          <w:sz w:val="24"/>
          <w:szCs w:val="24"/>
        </w:rPr>
        <w:t>Katarzyna Wojczulanis-Jakubas</w:t>
      </w:r>
    </w:p>
    <w:p w14:paraId="763D2BFD" w14:textId="77777777" w:rsidR="008644C1" w:rsidRPr="0055766C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66C">
        <w:rPr>
          <w:rFonts w:ascii="Times New Roman" w:hAnsi="Times New Roman" w:cs="Times New Roman"/>
          <w:sz w:val="24"/>
          <w:szCs w:val="24"/>
        </w:rPr>
        <w:t>University of Gdańsk, Poland</w:t>
      </w:r>
    </w:p>
    <w:sectPr w:rsidR="008644C1" w:rsidRPr="00557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76"/>
    <w:rsid w:val="0055766C"/>
    <w:rsid w:val="007B33CC"/>
    <w:rsid w:val="008644C1"/>
    <w:rsid w:val="00867AE8"/>
    <w:rsid w:val="00AA204E"/>
    <w:rsid w:val="00BB62A4"/>
    <w:rsid w:val="00F6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2761F"/>
  <w15:chartTrackingRefBased/>
  <w15:docId w15:val="{FDE74F50-51E3-4939-BD1F-D3E4FC4C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qFormat/>
    <w:rsid w:val="007B3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Katarzyna Wojczulanis-Jakubas</cp:lastModifiedBy>
  <cp:revision>6</cp:revision>
  <dcterms:created xsi:type="dcterms:W3CDTF">2021-06-13T16:53:00Z</dcterms:created>
  <dcterms:modified xsi:type="dcterms:W3CDTF">2022-12-10T10:15:00Z</dcterms:modified>
</cp:coreProperties>
</file>