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6491" w14:textId="77777777" w:rsidR="002B5571" w:rsidRDefault="002B5571" w:rsidP="00047DCC">
      <w:pPr>
        <w:spacing w:after="0" w:line="240" w:lineRule="auto"/>
        <w:rPr>
          <w:rFonts w:cstheme="minorHAnsi"/>
          <w:b/>
          <w:lang w:val="en-GB"/>
        </w:rPr>
      </w:pPr>
    </w:p>
    <w:p w14:paraId="6093C406" w14:textId="56E38846" w:rsidR="00047DCC" w:rsidRPr="00F94288" w:rsidRDefault="00047DCC" w:rsidP="00047DCC">
      <w:pPr>
        <w:spacing w:after="0" w:line="240" w:lineRule="auto"/>
        <w:rPr>
          <w:rFonts w:cstheme="minorHAnsi"/>
          <w:b/>
          <w:bCs/>
          <w:lang w:val="en-GB"/>
        </w:rPr>
      </w:pPr>
      <w:r w:rsidRPr="00047DCC">
        <w:rPr>
          <w:rFonts w:cstheme="minorHAnsi"/>
          <w:b/>
          <w:lang w:val="en-GB"/>
        </w:rPr>
        <w:t xml:space="preserve">SUPPLEMENTARY </w:t>
      </w:r>
      <w:r w:rsidR="00F94288">
        <w:rPr>
          <w:rFonts w:cstheme="minorHAnsi"/>
          <w:b/>
          <w:lang w:val="en-GB"/>
        </w:rPr>
        <w:t xml:space="preserve">ONLINE </w:t>
      </w:r>
      <w:r w:rsidRPr="00047DCC">
        <w:rPr>
          <w:rFonts w:cstheme="minorHAnsi"/>
          <w:b/>
          <w:lang w:val="en-GB"/>
        </w:rPr>
        <w:t>MATERIALS:</w:t>
      </w:r>
      <w:r w:rsidRPr="00F94288">
        <w:rPr>
          <w:rFonts w:cstheme="minorHAnsi"/>
          <w:b/>
          <w:bCs/>
          <w:lang w:val="en-GB"/>
        </w:rPr>
        <w:t xml:space="preserve"> Foraging, fear and behavioural </w:t>
      </w:r>
      <w:r w:rsidR="00724D42" w:rsidRPr="00F94288">
        <w:rPr>
          <w:rFonts w:cstheme="minorHAnsi"/>
          <w:b/>
          <w:bCs/>
          <w:lang w:val="en-GB"/>
        </w:rPr>
        <w:t xml:space="preserve">variation, </w:t>
      </w:r>
      <w:r w:rsidRPr="00F94288">
        <w:rPr>
          <w:rFonts w:cstheme="minorHAnsi"/>
          <w:b/>
          <w:bCs/>
          <w:lang w:val="en-GB"/>
        </w:rPr>
        <w:t xml:space="preserve">a lesson from hummingbirds </w:t>
      </w:r>
    </w:p>
    <w:p w14:paraId="1FD4009C" w14:textId="77777777" w:rsidR="00047DCC" w:rsidRDefault="00047DCC" w:rsidP="00047DCC">
      <w:pPr>
        <w:spacing w:after="0" w:line="240" w:lineRule="auto"/>
        <w:rPr>
          <w:rFonts w:cstheme="minorHAnsi"/>
          <w:lang w:val="en-GB"/>
        </w:rPr>
      </w:pPr>
    </w:p>
    <w:p w14:paraId="122889C4" w14:textId="06F97677" w:rsidR="00C61969" w:rsidRDefault="00D70D69" w:rsidP="00140573">
      <w:pPr>
        <w:spacing w:line="240" w:lineRule="auto"/>
        <w:jc w:val="both"/>
        <w:rPr>
          <w:rFonts w:cstheme="minorHAnsi"/>
          <w:lang w:val="pt"/>
        </w:rPr>
      </w:pPr>
      <w:r>
        <w:rPr>
          <w:rFonts w:cstheme="minorHAnsi"/>
          <w:lang w:val="pt"/>
        </w:rPr>
        <w:t xml:space="preserve">To analyse the effect of passing time (i.e. habituation, satiation) on the foraging efficency, we </w:t>
      </w:r>
      <w:r w:rsidR="002D7D4E">
        <w:rPr>
          <w:rFonts w:cstheme="minorHAnsi"/>
          <w:lang w:val="pt"/>
        </w:rPr>
        <w:t xml:space="preserve">examined </w:t>
      </w:r>
      <w:r>
        <w:rPr>
          <w:rFonts w:cstheme="minorHAnsi"/>
          <w:lang w:val="pt"/>
        </w:rPr>
        <w:t>available time series of foraging effic</w:t>
      </w:r>
      <w:r w:rsidR="00CF3CD1">
        <w:rPr>
          <w:rFonts w:cstheme="minorHAnsi"/>
          <w:lang w:val="pt"/>
        </w:rPr>
        <w:t>i</w:t>
      </w:r>
      <w:r>
        <w:rPr>
          <w:rFonts w:cstheme="minorHAnsi"/>
          <w:lang w:val="pt"/>
        </w:rPr>
        <w:t xml:space="preserve">ency </w:t>
      </w:r>
      <w:r w:rsidR="00CF3CD1">
        <w:rPr>
          <w:rFonts w:cstheme="minorHAnsi"/>
          <w:lang w:val="pt"/>
        </w:rPr>
        <w:t>with two approaches. Firstly, we considered a linear mixed model (</w:t>
      </w:r>
      <w:r w:rsidR="00CF3CD1" w:rsidRPr="00CF3CD1">
        <w:rPr>
          <w:rFonts w:cstheme="minorHAnsi"/>
          <w:i/>
          <w:lang w:val="pt"/>
        </w:rPr>
        <w:t>lmer</w:t>
      </w:r>
      <w:r w:rsidR="00CF3CD1">
        <w:rPr>
          <w:rFonts w:cstheme="minorHAnsi"/>
          <w:lang w:val="pt"/>
        </w:rPr>
        <w:t xml:space="preserve"> function in </w:t>
      </w:r>
      <w:r w:rsidR="00CF3CD1" w:rsidRPr="00CF3CD1">
        <w:rPr>
          <w:rFonts w:cstheme="minorHAnsi"/>
          <w:i/>
          <w:lang w:val="pt"/>
        </w:rPr>
        <w:t>lmerTEST</w:t>
      </w:r>
      <w:r w:rsidR="00CF3CD1">
        <w:rPr>
          <w:rFonts w:cstheme="minorHAnsi"/>
          <w:lang w:val="pt"/>
        </w:rPr>
        <w:t xml:space="preserve"> package, Kuzetsowa et al 2017) with foraging efficiency as a response variable and the sequence of consecutive visits during the control phases as an explanatory </w:t>
      </w:r>
      <w:r w:rsidR="00147B77">
        <w:rPr>
          <w:rFonts w:cstheme="minorHAnsi"/>
          <w:lang w:val="pt"/>
        </w:rPr>
        <w:t xml:space="preserve">(linear for simplicity) </w:t>
      </w:r>
      <w:r w:rsidR="00CF3CD1">
        <w:rPr>
          <w:rFonts w:cstheme="minorHAnsi"/>
          <w:lang w:val="pt"/>
        </w:rPr>
        <w:t xml:space="preserve">response. Birds indentity was also included in the model as a random factor. The model output indicated </w:t>
      </w:r>
      <w:r w:rsidR="00147B77">
        <w:rPr>
          <w:rFonts w:cstheme="minorHAnsi"/>
          <w:lang w:val="pt"/>
        </w:rPr>
        <w:t xml:space="preserve">on </w:t>
      </w:r>
      <w:r w:rsidR="00CF3CD1">
        <w:rPr>
          <w:rFonts w:cstheme="minorHAnsi"/>
          <w:lang w:val="pt"/>
        </w:rPr>
        <w:t xml:space="preserve">significant </w:t>
      </w:r>
      <w:r w:rsidR="00147B77">
        <w:rPr>
          <w:rFonts w:cstheme="minorHAnsi"/>
          <w:lang w:val="pt"/>
        </w:rPr>
        <w:t xml:space="preserve">and positive </w:t>
      </w:r>
      <w:r w:rsidR="00CF3CD1">
        <w:rPr>
          <w:rFonts w:cstheme="minorHAnsi"/>
          <w:lang w:val="pt"/>
        </w:rPr>
        <w:t>effect of the visit on the foraging effic</w:t>
      </w:r>
      <w:r w:rsidR="00C61969">
        <w:rPr>
          <w:rFonts w:cstheme="minorHAnsi"/>
          <w:lang w:val="pt"/>
        </w:rPr>
        <w:t>i</w:t>
      </w:r>
      <w:r w:rsidR="00CF3CD1">
        <w:rPr>
          <w:rFonts w:cstheme="minorHAnsi"/>
          <w:lang w:val="pt"/>
        </w:rPr>
        <w:t>ency (glmm, estimate 0.0</w:t>
      </w:r>
      <w:r w:rsidR="00147B77">
        <w:rPr>
          <w:rFonts w:cstheme="minorHAnsi"/>
          <w:lang w:val="pt"/>
        </w:rPr>
        <w:t>06</w:t>
      </w:r>
      <w:r w:rsidR="00CF3CD1">
        <w:rPr>
          <w:rFonts w:cstheme="minorHAnsi"/>
          <w:lang w:val="pt"/>
        </w:rPr>
        <w:t xml:space="preserve"> ± SE 0.0</w:t>
      </w:r>
      <w:r w:rsidR="00147B77">
        <w:rPr>
          <w:rFonts w:cstheme="minorHAnsi"/>
          <w:lang w:val="pt"/>
        </w:rPr>
        <w:t>02</w:t>
      </w:r>
      <w:r w:rsidR="00CF3CD1">
        <w:rPr>
          <w:rFonts w:cstheme="minorHAnsi"/>
          <w:lang w:val="pt"/>
        </w:rPr>
        <w:t xml:space="preserve">, t = 1.47, df = </w:t>
      </w:r>
      <w:r w:rsidR="00147B77">
        <w:rPr>
          <w:rFonts w:cstheme="minorHAnsi"/>
          <w:lang w:val="pt"/>
        </w:rPr>
        <w:t>135.3</w:t>
      </w:r>
      <w:r w:rsidR="00CF3CD1">
        <w:rPr>
          <w:rFonts w:cstheme="minorHAnsi"/>
          <w:lang w:val="pt"/>
        </w:rPr>
        <w:t xml:space="preserve">, P = </w:t>
      </w:r>
      <w:r w:rsidR="00147B77">
        <w:rPr>
          <w:rFonts w:cstheme="minorHAnsi"/>
          <w:lang w:val="pt"/>
        </w:rPr>
        <w:t>0.03</w:t>
      </w:r>
      <w:r w:rsidR="008B4342">
        <w:rPr>
          <w:rFonts w:cstheme="minorHAnsi"/>
          <w:lang w:val="pt"/>
        </w:rPr>
        <w:t xml:space="preserve">; </w:t>
      </w:r>
      <w:r w:rsidR="00CC454E">
        <w:rPr>
          <w:rFonts w:cstheme="minorHAnsi"/>
          <w:lang w:val="pt"/>
        </w:rPr>
        <w:t>Fig S1)</w:t>
      </w:r>
      <w:r w:rsidR="00147B77">
        <w:rPr>
          <w:rFonts w:cstheme="minorHAnsi"/>
          <w:lang w:val="pt"/>
        </w:rPr>
        <w:t xml:space="preserve">. </w:t>
      </w:r>
    </w:p>
    <w:p w14:paraId="3839DFC6" w14:textId="77777777" w:rsidR="00147B77" w:rsidRDefault="00147B77" w:rsidP="00140573">
      <w:pPr>
        <w:spacing w:line="240" w:lineRule="auto"/>
        <w:jc w:val="both"/>
        <w:rPr>
          <w:rFonts w:cstheme="minorHAnsi"/>
          <w:lang w:val="pt"/>
        </w:rPr>
      </w:pPr>
    </w:p>
    <w:p w14:paraId="1F4A71EB" w14:textId="77777777" w:rsidR="00147B77" w:rsidRDefault="00DC73F5" w:rsidP="00140573">
      <w:pPr>
        <w:spacing w:line="240" w:lineRule="auto"/>
        <w:jc w:val="both"/>
        <w:rPr>
          <w:rFonts w:cstheme="minorHAnsi"/>
          <w:lang w:val="pt"/>
        </w:rPr>
      </w:pPr>
      <w:r>
        <w:rPr>
          <w:noProof/>
          <w:lang w:eastAsia="pl-PL"/>
        </w:rPr>
        <w:drawing>
          <wp:inline distT="0" distB="0" distL="0" distR="0" wp14:anchorId="2AA8F337" wp14:editId="2E874A84">
            <wp:extent cx="5760720" cy="27495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06B0" w14:textId="2946D317" w:rsidR="00DC73F5" w:rsidRPr="00C43091" w:rsidRDefault="00DC73F5" w:rsidP="00DC73F5">
      <w:pPr>
        <w:spacing w:before="100" w:beforeAutospacing="1" w:after="0" w:line="240" w:lineRule="auto"/>
        <w:jc w:val="both"/>
        <w:outlineLvl w:val="1"/>
        <w:rPr>
          <w:rFonts w:eastAsia="Times New Roman" w:cstheme="minorHAnsi"/>
          <w:bCs/>
          <w:lang w:val="en-GB" w:eastAsia="pl-PL"/>
        </w:rPr>
      </w:pPr>
      <w:r>
        <w:rPr>
          <w:rFonts w:eastAsia="Times New Roman" w:cstheme="minorHAnsi"/>
          <w:b/>
          <w:bCs/>
          <w:lang w:val="en-GB" w:eastAsia="pl-PL"/>
        </w:rPr>
        <w:t xml:space="preserve">Figure S1 </w:t>
      </w:r>
      <w:r w:rsidRPr="00DC73F5">
        <w:rPr>
          <w:rFonts w:eastAsia="Times New Roman" w:cstheme="minorHAnsi"/>
          <w:bCs/>
          <w:lang w:val="en-GB" w:eastAsia="pl-PL"/>
        </w:rPr>
        <w:t>Relationship</w:t>
      </w:r>
      <w:r>
        <w:rPr>
          <w:rFonts w:eastAsia="Times New Roman" w:cstheme="minorHAnsi"/>
          <w:bCs/>
          <w:lang w:val="en-GB" w:eastAsia="pl-PL"/>
        </w:rPr>
        <w:t xml:space="preserve"> between foraging efficiency and consecutive visits at feeders area during the control phases of the experiment (all individuals considered).</w:t>
      </w:r>
      <w:r w:rsidR="00CC454E">
        <w:rPr>
          <w:rFonts w:eastAsia="Times New Roman" w:cstheme="minorHAnsi"/>
          <w:bCs/>
          <w:lang w:val="en-GB" w:eastAsia="pl-PL"/>
        </w:rPr>
        <w:t xml:space="preserve"> </w:t>
      </w:r>
    </w:p>
    <w:p w14:paraId="706A37E5" w14:textId="77777777" w:rsidR="00147B77" w:rsidRPr="00DC73F5" w:rsidRDefault="00147B77" w:rsidP="00140573">
      <w:pPr>
        <w:spacing w:line="240" w:lineRule="auto"/>
        <w:jc w:val="both"/>
        <w:rPr>
          <w:rFonts w:cstheme="minorHAnsi"/>
          <w:lang w:val="en-GB"/>
        </w:rPr>
      </w:pPr>
    </w:p>
    <w:p w14:paraId="35EF419B" w14:textId="77777777" w:rsidR="00CF3CD1" w:rsidRDefault="00CF3CD1" w:rsidP="00140573">
      <w:pPr>
        <w:spacing w:line="240" w:lineRule="auto"/>
        <w:jc w:val="both"/>
        <w:rPr>
          <w:rFonts w:cstheme="minorHAnsi"/>
          <w:lang w:val="pt"/>
        </w:rPr>
      </w:pPr>
      <w:r>
        <w:rPr>
          <w:rFonts w:cstheme="minorHAnsi"/>
          <w:lang w:val="pt"/>
        </w:rPr>
        <w:lastRenderedPageBreak/>
        <w:t xml:space="preserve">In the second approach </w:t>
      </w:r>
      <w:r w:rsidR="00147B77">
        <w:rPr>
          <w:rFonts w:cstheme="minorHAnsi"/>
          <w:lang w:val="pt"/>
        </w:rPr>
        <w:t xml:space="preserve">we used data of </w:t>
      </w:r>
      <w:r w:rsidR="00DC73F5">
        <w:rPr>
          <w:rFonts w:cstheme="minorHAnsi"/>
          <w:lang w:val="pt"/>
        </w:rPr>
        <w:t xml:space="preserve">six </w:t>
      </w:r>
      <w:r w:rsidR="00147B77">
        <w:rPr>
          <w:rFonts w:cstheme="minorHAnsi"/>
          <w:lang w:val="pt"/>
        </w:rPr>
        <w:t xml:space="preserve">time series from </w:t>
      </w:r>
      <w:r w:rsidR="00DC73F5">
        <w:rPr>
          <w:rFonts w:cstheme="minorHAnsi"/>
          <w:lang w:val="pt"/>
        </w:rPr>
        <w:t xml:space="preserve">four </w:t>
      </w:r>
      <w:r w:rsidR="00147B77">
        <w:rPr>
          <w:rFonts w:cstheme="minorHAnsi"/>
          <w:lang w:val="pt"/>
        </w:rPr>
        <w:t xml:space="preserve">different individuals </w:t>
      </w:r>
      <w:r w:rsidR="00147B77" w:rsidRPr="00CC780E">
        <w:rPr>
          <w:rFonts w:cstheme="minorHAnsi"/>
          <w:lang w:val="pt"/>
        </w:rPr>
        <w:t>that were the most frequent visitors at the feeder during control phases</w:t>
      </w:r>
      <w:r w:rsidR="00147B77">
        <w:rPr>
          <w:rFonts w:cstheme="minorHAnsi"/>
          <w:lang w:val="pt"/>
        </w:rPr>
        <w:t xml:space="preserve"> (</w:t>
      </w:r>
      <w:r w:rsidR="00147B77" w:rsidRPr="001E523D">
        <w:rPr>
          <w:rFonts w:cstheme="minorHAnsi"/>
          <w:lang w:val="pt"/>
        </w:rPr>
        <w:t xml:space="preserve">≥ </w:t>
      </w:r>
      <w:r w:rsidR="002E2DEA">
        <w:rPr>
          <w:rFonts w:cstheme="minorHAnsi"/>
          <w:lang w:val="pt"/>
        </w:rPr>
        <w:t>5</w:t>
      </w:r>
      <w:r w:rsidR="00147B77" w:rsidRPr="001E523D">
        <w:rPr>
          <w:rFonts w:cstheme="minorHAnsi"/>
          <w:lang w:val="pt"/>
        </w:rPr>
        <w:t xml:space="preserve"> records of consecutive visits</w:t>
      </w:r>
      <w:r w:rsidR="00147B77">
        <w:rPr>
          <w:rFonts w:cstheme="minorHAnsi"/>
          <w:lang w:val="pt"/>
        </w:rPr>
        <w:t xml:space="preserve"> during the control phases</w:t>
      </w:r>
      <w:r w:rsidR="00147B77" w:rsidRPr="001E523D">
        <w:rPr>
          <w:rFonts w:cstheme="minorHAnsi"/>
          <w:lang w:val="pt"/>
        </w:rPr>
        <w:t>)</w:t>
      </w:r>
      <w:r w:rsidR="00147B77">
        <w:rPr>
          <w:rFonts w:cstheme="minorHAnsi"/>
          <w:lang w:val="pt"/>
        </w:rPr>
        <w:t xml:space="preserve">. </w:t>
      </w:r>
      <w:r w:rsidR="002E2DEA">
        <w:rPr>
          <w:rFonts w:cstheme="minorHAnsi"/>
          <w:lang w:val="pt"/>
        </w:rPr>
        <w:t>We did not find any evide</w:t>
      </w:r>
      <w:r w:rsidR="00147B77">
        <w:rPr>
          <w:rFonts w:cstheme="minorHAnsi"/>
          <w:lang w:val="pt"/>
        </w:rPr>
        <w:t>nce of the autocorrelation in the examined set, i.e.</w:t>
      </w:r>
      <w:r w:rsidR="002E2DEA">
        <w:rPr>
          <w:rFonts w:cstheme="minorHAnsi"/>
          <w:lang w:val="pt"/>
        </w:rPr>
        <w:t xml:space="preserve"> </w:t>
      </w:r>
      <w:r w:rsidR="00147B77">
        <w:rPr>
          <w:rFonts w:cstheme="minorHAnsi"/>
          <w:lang w:val="pt"/>
        </w:rPr>
        <w:t>correlation coeficients for all the lags were statistically insignificant for all the examined time series (Fig. S</w:t>
      </w:r>
      <w:r w:rsidR="00DC73F5">
        <w:rPr>
          <w:rFonts w:cstheme="minorHAnsi"/>
          <w:lang w:val="pt"/>
        </w:rPr>
        <w:t>2</w:t>
      </w:r>
      <w:r w:rsidR="00147B77">
        <w:rPr>
          <w:rFonts w:cstheme="minorHAnsi"/>
          <w:lang w:val="pt"/>
        </w:rPr>
        <w:t xml:space="preserve">). </w:t>
      </w:r>
    </w:p>
    <w:p w14:paraId="36B4A310" w14:textId="77777777" w:rsidR="00DC73F5" w:rsidRDefault="00DC73F5" w:rsidP="00140573">
      <w:pPr>
        <w:spacing w:line="240" w:lineRule="auto"/>
        <w:jc w:val="both"/>
        <w:rPr>
          <w:rFonts w:cstheme="minorHAnsi"/>
          <w:lang w:val="pt"/>
        </w:rPr>
      </w:pPr>
    </w:p>
    <w:p w14:paraId="4AE068CA" w14:textId="77777777" w:rsidR="00CF3CD1" w:rsidRDefault="00DC73F5" w:rsidP="00140573">
      <w:pPr>
        <w:spacing w:line="240" w:lineRule="auto"/>
        <w:jc w:val="both"/>
        <w:rPr>
          <w:rFonts w:cstheme="minorHAnsi"/>
          <w:lang w:val="pt"/>
        </w:rPr>
      </w:pPr>
      <w:r>
        <w:rPr>
          <w:noProof/>
          <w:lang w:eastAsia="pl-PL"/>
        </w:rPr>
        <w:drawing>
          <wp:inline distT="0" distB="0" distL="0" distR="0" wp14:anchorId="17427303" wp14:editId="6B42F162">
            <wp:extent cx="5760000" cy="3492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E44" w14:textId="77777777" w:rsidR="00C43091" w:rsidRPr="00C43091" w:rsidRDefault="00C43091" w:rsidP="00E82FFC">
      <w:pPr>
        <w:spacing w:before="100" w:beforeAutospacing="1" w:after="0" w:line="240" w:lineRule="auto"/>
        <w:jc w:val="both"/>
        <w:outlineLvl w:val="1"/>
        <w:rPr>
          <w:rFonts w:eastAsia="Times New Roman" w:cstheme="minorHAnsi"/>
          <w:bCs/>
          <w:lang w:val="en-GB" w:eastAsia="pl-PL"/>
        </w:rPr>
      </w:pPr>
      <w:r>
        <w:rPr>
          <w:rFonts w:eastAsia="Times New Roman" w:cstheme="minorHAnsi"/>
          <w:b/>
          <w:bCs/>
          <w:lang w:val="en-GB" w:eastAsia="pl-PL"/>
        </w:rPr>
        <w:t>Figure S</w:t>
      </w:r>
      <w:r w:rsidR="00DC73F5">
        <w:rPr>
          <w:rFonts w:eastAsia="Times New Roman" w:cstheme="minorHAnsi"/>
          <w:b/>
          <w:bCs/>
          <w:lang w:val="en-GB" w:eastAsia="pl-PL"/>
        </w:rPr>
        <w:t>2</w:t>
      </w:r>
      <w:r>
        <w:rPr>
          <w:rFonts w:eastAsia="Times New Roman" w:cstheme="minorHAnsi"/>
          <w:b/>
          <w:bCs/>
          <w:lang w:val="en-GB" w:eastAsia="pl-PL"/>
        </w:rPr>
        <w:t xml:space="preserve"> </w:t>
      </w:r>
      <w:r>
        <w:rPr>
          <w:rFonts w:eastAsia="Times New Roman" w:cstheme="minorHAnsi"/>
          <w:bCs/>
          <w:lang w:val="en-GB" w:eastAsia="pl-PL"/>
        </w:rPr>
        <w:t xml:space="preserve">Autocorrelation analysis plots for </w:t>
      </w:r>
      <w:r w:rsidR="00DC73F5">
        <w:rPr>
          <w:rFonts w:eastAsia="Times New Roman" w:cstheme="minorHAnsi"/>
          <w:bCs/>
          <w:lang w:val="en-GB" w:eastAsia="pl-PL"/>
        </w:rPr>
        <w:t xml:space="preserve">six </w:t>
      </w:r>
      <w:r>
        <w:rPr>
          <w:rFonts w:eastAsia="Times New Roman" w:cstheme="minorHAnsi"/>
          <w:bCs/>
          <w:lang w:val="en-GB" w:eastAsia="pl-PL"/>
        </w:rPr>
        <w:t xml:space="preserve">time series </w:t>
      </w:r>
      <w:r w:rsidR="00DC73F5">
        <w:rPr>
          <w:rFonts w:eastAsia="Times New Roman" w:cstheme="minorHAnsi"/>
          <w:bCs/>
          <w:lang w:val="en-GB" w:eastAsia="pl-PL"/>
        </w:rPr>
        <w:t xml:space="preserve">(four individuals) </w:t>
      </w:r>
      <w:r>
        <w:rPr>
          <w:rFonts w:eastAsia="Times New Roman" w:cstheme="minorHAnsi"/>
          <w:bCs/>
          <w:lang w:val="en-GB" w:eastAsia="pl-PL"/>
        </w:rPr>
        <w:t>of foraging efficiency during consecutive visits at feeders area during the control phases of the ex</w:t>
      </w:r>
      <w:r w:rsidR="00DC73F5">
        <w:rPr>
          <w:rFonts w:eastAsia="Times New Roman" w:cstheme="minorHAnsi"/>
          <w:bCs/>
          <w:lang w:val="en-GB" w:eastAsia="pl-PL"/>
        </w:rPr>
        <w:t xml:space="preserve">periment. The titles denote </w:t>
      </w:r>
      <w:r>
        <w:rPr>
          <w:rFonts w:eastAsia="Times New Roman" w:cstheme="minorHAnsi"/>
          <w:bCs/>
          <w:lang w:val="en-GB" w:eastAsia="pl-PL"/>
        </w:rPr>
        <w:t xml:space="preserve">individual identity and number of control session. Solid vertical lines denote correlation coefficient for particular lag of the time </w:t>
      </w:r>
      <w:r w:rsidR="00C34410">
        <w:rPr>
          <w:rFonts w:eastAsia="Times New Roman" w:cstheme="minorHAnsi"/>
          <w:bCs/>
          <w:lang w:val="en-GB" w:eastAsia="pl-PL"/>
        </w:rPr>
        <w:t>series</w:t>
      </w:r>
      <w:r>
        <w:rPr>
          <w:rFonts w:eastAsia="Times New Roman" w:cstheme="minorHAnsi"/>
          <w:bCs/>
          <w:lang w:val="en-GB" w:eastAsia="pl-PL"/>
        </w:rPr>
        <w:t xml:space="preserve">, and dashed horizontal lines delimit the range of their significance. </w:t>
      </w:r>
    </w:p>
    <w:p w14:paraId="70617B38" w14:textId="77777777" w:rsidR="00147B77" w:rsidRDefault="00147B77" w:rsidP="00147B77">
      <w:pPr>
        <w:spacing w:line="240" w:lineRule="auto"/>
        <w:jc w:val="both"/>
        <w:rPr>
          <w:rFonts w:cstheme="minorHAnsi"/>
          <w:lang w:val="pt"/>
        </w:rPr>
      </w:pPr>
    </w:p>
    <w:p w14:paraId="66C10F59" w14:textId="77777777" w:rsidR="00147B77" w:rsidRPr="00CC780E" w:rsidRDefault="002E2DEA" w:rsidP="00147B77">
      <w:pPr>
        <w:spacing w:line="240" w:lineRule="auto"/>
        <w:jc w:val="both"/>
        <w:rPr>
          <w:rFonts w:cstheme="minorHAnsi"/>
          <w:lang w:val="pt"/>
        </w:rPr>
      </w:pPr>
      <w:r>
        <w:rPr>
          <w:rFonts w:cstheme="minorHAnsi"/>
          <w:lang w:val="pt"/>
        </w:rPr>
        <w:t>Considering b</w:t>
      </w:r>
      <w:r w:rsidR="00147B77">
        <w:rPr>
          <w:rFonts w:cstheme="minorHAnsi"/>
          <w:lang w:val="pt"/>
        </w:rPr>
        <w:t xml:space="preserve">oth applied approaches </w:t>
      </w:r>
      <w:r>
        <w:rPr>
          <w:rFonts w:cstheme="minorHAnsi"/>
          <w:lang w:val="pt"/>
        </w:rPr>
        <w:t xml:space="preserve">it seems that </w:t>
      </w:r>
      <w:r w:rsidR="00147B77">
        <w:rPr>
          <w:rFonts w:cstheme="minorHAnsi"/>
          <w:lang w:val="pt"/>
        </w:rPr>
        <w:t xml:space="preserve">foraging efficency </w:t>
      </w:r>
      <w:r>
        <w:rPr>
          <w:rFonts w:cstheme="minorHAnsi"/>
          <w:lang w:val="pt"/>
        </w:rPr>
        <w:t xml:space="preserve">at </w:t>
      </w:r>
      <w:r w:rsidR="00147B77">
        <w:rPr>
          <w:rFonts w:cstheme="minorHAnsi"/>
          <w:lang w:val="pt"/>
        </w:rPr>
        <w:t>feeder</w:t>
      </w:r>
      <w:r>
        <w:rPr>
          <w:rFonts w:cstheme="minorHAnsi"/>
          <w:lang w:val="pt"/>
        </w:rPr>
        <w:t>s</w:t>
      </w:r>
      <w:r w:rsidR="00147B77">
        <w:rPr>
          <w:rFonts w:cstheme="minorHAnsi"/>
          <w:lang w:val="pt"/>
        </w:rPr>
        <w:t xml:space="preserve"> may imp</w:t>
      </w:r>
      <w:r w:rsidR="00CE4A2C">
        <w:rPr>
          <w:rFonts w:cstheme="minorHAnsi"/>
          <w:lang w:val="pt"/>
        </w:rPr>
        <w:t>rove over the time indic</w:t>
      </w:r>
      <w:r w:rsidR="00147B77">
        <w:rPr>
          <w:rFonts w:cstheme="minorHAnsi"/>
          <w:lang w:val="pt"/>
        </w:rPr>
        <w:t>ating habitua</w:t>
      </w:r>
      <w:r w:rsidR="00CE4A2C">
        <w:rPr>
          <w:rFonts w:cstheme="minorHAnsi"/>
          <w:lang w:val="pt"/>
        </w:rPr>
        <w:t>t</w:t>
      </w:r>
      <w:r w:rsidR="00147B77">
        <w:rPr>
          <w:rFonts w:cstheme="minorHAnsi"/>
          <w:lang w:val="pt"/>
        </w:rPr>
        <w:t xml:space="preserve">ion, although </w:t>
      </w:r>
      <w:r w:rsidR="00CE4A2C">
        <w:rPr>
          <w:rFonts w:cstheme="minorHAnsi"/>
          <w:lang w:val="pt"/>
        </w:rPr>
        <w:t xml:space="preserve">it apparently </w:t>
      </w:r>
      <w:r w:rsidR="00147B77">
        <w:rPr>
          <w:rFonts w:cstheme="minorHAnsi"/>
          <w:lang w:val="pt"/>
        </w:rPr>
        <w:t xml:space="preserve">happens only </w:t>
      </w:r>
      <w:r w:rsidR="00CE4A2C">
        <w:rPr>
          <w:rFonts w:cstheme="minorHAnsi"/>
          <w:lang w:val="pt"/>
        </w:rPr>
        <w:t xml:space="preserve">after a considerable number of visits of an individual. Given that </w:t>
      </w:r>
      <w:r>
        <w:rPr>
          <w:rFonts w:cstheme="minorHAnsi"/>
          <w:lang w:val="pt"/>
        </w:rPr>
        <w:t xml:space="preserve">we had only one individual being such a frequent user of the feeders place, </w:t>
      </w:r>
      <w:r w:rsidR="00147B77">
        <w:rPr>
          <w:rFonts w:cstheme="minorHAnsi"/>
          <w:lang w:val="pt"/>
        </w:rPr>
        <w:t xml:space="preserve">we </w:t>
      </w:r>
      <w:r w:rsidR="00147B77" w:rsidRPr="00CC780E">
        <w:rPr>
          <w:rFonts w:cstheme="minorHAnsi"/>
          <w:lang w:val="pt"/>
        </w:rPr>
        <w:lastRenderedPageBreak/>
        <w:t>treat</w:t>
      </w:r>
      <w:r>
        <w:rPr>
          <w:rFonts w:cstheme="minorHAnsi"/>
          <w:lang w:val="pt"/>
        </w:rPr>
        <w:t>ed</w:t>
      </w:r>
      <w:r w:rsidR="00147B77">
        <w:rPr>
          <w:rFonts w:cstheme="minorHAnsi"/>
          <w:lang w:val="pt"/>
        </w:rPr>
        <w:t xml:space="preserve"> </w:t>
      </w:r>
      <w:r w:rsidR="00147B77" w:rsidRPr="00CC780E">
        <w:rPr>
          <w:rFonts w:cstheme="minorHAnsi"/>
          <w:lang w:val="pt"/>
        </w:rPr>
        <w:t xml:space="preserve">all the birds visits as </w:t>
      </w:r>
      <w:r w:rsidR="00DC73F5">
        <w:rPr>
          <w:rFonts w:cstheme="minorHAnsi"/>
          <w:lang w:val="pt"/>
        </w:rPr>
        <w:t>time-</w:t>
      </w:r>
      <w:r w:rsidR="00147B77" w:rsidRPr="00CC780E">
        <w:rPr>
          <w:rFonts w:cstheme="minorHAnsi"/>
          <w:lang w:val="pt"/>
        </w:rPr>
        <w:t>independent data points.</w:t>
      </w:r>
      <w:r>
        <w:rPr>
          <w:rFonts w:cstheme="minorHAnsi"/>
          <w:lang w:val="pt"/>
        </w:rPr>
        <w:t xml:space="preserve"> Besides, given the fact that experiments with bullet ants were always performed after the control phases, a negative effect of the experimental treamtent could be only mitigated. If that did not happen, the results of the</w:t>
      </w:r>
      <w:r w:rsidR="00DC73F5">
        <w:rPr>
          <w:rFonts w:cstheme="minorHAnsi"/>
          <w:lang w:val="pt"/>
        </w:rPr>
        <w:t xml:space="preserve"> experiment are apparently </w:t>
      </w:r>
      <w:r>
        <w:rPr>
          <w:rFonts w:cstheme="minorHAnsi"/>
          <w:lang w:val="pt"/>
        </w:rPr>
        <w:t>solid</w:t>
      </w:r>
      <w:r w:rsidR="00DC73F5">
        <w:rPr>
          <w:rFonts w:cstheme="minorHAnsi"/>
          <w:lang w:val="pt"/>
        </w:rPr>
        <w:t>.</w:t>
      </w:r>
    </w:p>
    <w:p w14:paraId="1776BADA" w14:textId="77777777" w:rsidR="009060E7" w:rsidRDefault="009060E7" w:rsidP="00E82FFC">
      <w:pPr>
        <w:spacing w:before="100" w:beforeAutospacing="1" w:after="0" w:line="240" w:lineRule="auto"/>
        <w:jc w:val="both"/>
        <w:outlineLvl w:val="1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Results on single predictor models</w:t>
      </w:r>
    </w:p>
    <w:p w14:paraId="40EAF7CA" w14:textId="77777777" w:rsidR="00047DCC" w:rsidRDefault="00047DCC" w:rsidP="00754615">
      <w:pPr>
        <w:spacing w:after="0" w:line="240" w:lineRule="auto"/>
        <w:jc w:val="both"/>
        <w:rPr>
          <w:rFonts w:cstheme="minorHAnsi"/>
          <w:lang w:val="en-GB"/>
        </w:rPr>
      </w:pPr>
    </w:p>
    <w:p w14:paraId="1130DBE0" w14:textId="09B9AC71" w:rsidR="00754615" w:rsidRDefault="00754615" w:rsidP="00754615">
      <w:pPr>
        <w:spacing w:after="0" w:line="240" w:lineRule="auto"/>
        <w:jc w:val="both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 xml:space="preserve">To examine foraging efficiency (response variable) in regard to the context, behavioural </w:t>
      </w:r>
      <w:r w:rsidR="00264C9C">
        <w:rPr>
          <w:rFonts w:cstheme="minorHAnsi"/>
          <w:lang w:val="en-GB"/>
        </w:rPr>
        <w:t xml:space="preserve">traits </w:t>
      </w:r>
      <w:r w:rsidRPr="00754615">
        <w:rPr>
          <w:rFonts w:cstheme="minorHAnsi"/>
          <w:lang w:val="en-GB"/>
        </w:rPr>
        <w:t>and their all interactions (predictors) we applied Bayesian MCMC generalized linear modelling, with bird’s identity included as a random factor. We performed the analyses in two approaches. In the first one, we run analysis for each behavioural parameter separately (</w:t>
      </w:r>
      <w:r w:rsidRPr="00521B62">
        <w:rPr>
          <w:rFonts w:cstheme="minorHAnsi"/>
          <w:lang w:val="en-GB"/>
        </w:rPr>
        <w:t>“single behaviour-predictor models”</w:t>
      </w:r>
      <w:r w:rsidRPr="00754615">
        <w:rPr>
          <w:rFonts w:cstheme="minorHAnsi"/>
          <w:lang w:val="en-GB"/>
        </w:rPr>
        <w:t>). In the second approach, all the behaviour-predictors were considered in a single, global model. The two approaches yield qualitatively similar results (Fig. S3), therefore we presented the latter in the main text, and below we present the outcome of the single behaviour-predictor models.</w:t>
      </w:r>
    </w:p>
    <w:p w14:paraId="1A6FCB89" w14:textId="77777777" w:rsidR="00754615" w:rsidRPr="00754615" w:rsidRDefault="00754615" w:rsidP="00754615">
      <w:pPr>
        <w:spacing w:after="0" w:line="240" w:lineRule="auto"/>
        <w:jc w:val="both"/>
        <w:rPr>
          <w:rFonts w:cstheme="minorHAnsi"/>
          <w:lang w:val="en-GB"/>
        </w:rPr>
      </w:pPr>
    </w:p>
    <w:p w14:paraId="740119F5" w14:textId="77777777"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</w:pPr>
      <w:r>
        <w:rPr>
          <w:rFonts w:eastAsia="Times New Roman" w:cstheme="minorHAnsi"/>
          <w:b/>
          <w:bCs/>
          <w:lang w:val="en-GB" w:eastAsia="pl-PL"/>
        </w:rPr>
        <w:t>Model selection results</w:t>
      </w:r>
    </w:p>
    <w:p w14:paraId="694DC2C3" w14:textId="77777777"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</w:pPr>
    </w:p>
    <w:p w14:paraId="6735AF4B" w14:textId="6AEEC8E3" w:rsidR="009060E7" w:rsidRDefault="009060E7" w:rsidP="00754615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 xml:space="preserve">Table S1 </w:t>
      </w:r>
      <w:r w:rsidR="00754615" w:rsidRPr="00754615">
        <w:rPr>
          <w:rFonts w:cstheme="minorHAnsi"/>
          <w:lang w:val="en-GB"/>
        </w:rPr>
        <w:t xml:space="preserve">Ranking of models explaining foraging efficiency of </w:t>
      </w:r>
      <w:r w:rsidR="00264C9C">
        <w:rPr>
          <w:rFonts w:cstheme="minorHAnsi"/>
          <w:lang w:val="en-GB"/>
        </w:rPr>
        <w:t>L</w:t>
      </w:r>
      <w:r w:rsidR="00754615" w:rsidRPr="00754615">
        <w:rPr>
          <w:rFonts w:cstheme="minorHAnsi"/>
          <w:lang w:val="en-GB"/>
        </w:rPr>
        <w:t xml:space="preserve">ong-billed </w:t>
      </w:r>
      <w:r w:rsidR="00264C9C">
        <w:rPr>
          <w:rFonts w:cstheme="minorHAnsi"/>
          <w:lang w:val="en-GB"/>
        </w:rPr>
        <w:t>H</w:t>
      </w:r>
      <w:r w:rsidR="00754615" w:rsidRPr="00754615">
        <w:rPr>
          <w:rFonts w:cstheme="minorHAnsi"/>
          <w:lang w:val="en-GB"/>
        </w:rPr>
        <w:t xml:space="preserve">ermits, </w:t>
      </w:r>
      <w:r w:rsidR="00754615" w:rsidRPr="00754615">
        <w:rPr>
          <w:rFonts w:eastAsia="Times New Roman" w:cstheme="minorHAnsi"/>
          <w:lang w:val="en-GB" w:eastAsia="pl-PL"/>
        </w:rPr>
        <w:t xml:space="preserve">ordered by delta </w:t>
      </w:r>
      <w:r w:rsidR="00754615" w:rsidRPr="00754615">
        <w:rPr>
          <w:rFonts w:cstheme="minorHAnsi"/>
          <w:lang w:val="en-GB"/>
        </w:rPr>
        <w:t>Deviance Information Criterion (DIC; Akaike’s Information Criterion AIC yields to same conclusions). B</w:t>
      </w:r>
      <w:r w:rsidRPr="00754615">
        <w:rPr>
          <w:rFonts w:eastAsia="Times New Roman" w:cstheme="minorHAnsi"/>
          <w:lang w:val="en-GB" w:eastAsia="pl-PL"/>
        </w:rPr>
        <w:t xml:space="preserve">est model for each parameters </w:t>
      </w:r>
      <w:r w:rsidR="00047DCC">
        <w:rPr>
          <w:rFonts w:eastAsia="Times New Roman" w:cstheme="minorHAnsi"/>
          <w:lang w:val="en-GB" w:eastAsia="pl-PL"/>
        </w:rPr>
        <w:t>is bolded</w:t>
      </w:r>
      <w:r w:rsidR="00754615" w:rsidRPr="00754615">
        <w:rPr>
          <w:rFonts w:eastAsia="Times New Roman" w:cstheme="minorHAnsi"/>
          <w:lang w:val="en-GB" w:eastAsia="pl-PL"/>
        </w:rPr>
        <w:t>.</w:t>
      </w:r>
    </w:p>
    <w:p w14:paraId="1192C523" w14:textId="77777777" w:rsidR="006C08CC" w:rsidRPr="00754615" w:rsidRDefault="006C08CC" w:rsidP="00754615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</w:p>
    <w:tbl>
      <w:tblPr>
        <w:tblStyle w:val="Tabela-Siatka"/>
        <w:tblpPr w:leftFromText="141" w:rightFromText="141" w:vertAnchor="text" w:tblpY="1"/>
        <w:tblW w:w="9918" w:type="dxa"/>
        <w:tblLayout w:type="fixed"/>
        <w:tblLook w:val="04A0" w:firstRow="1" w:lastRow="0" w:firstColumn="1" w:lastColumn="0" w:noHBand="0" w:noVBand="1"/>
      </w:tblPr>
      <w:tblGrid>
        <w:gridCol w:w="1428"/>
        <w:gridCol w:w="1801"/>
        <w:gridCol w:w="452"/>
        <w:gridCol w:w="992"/>
        <w:gridCol w:w="992"/>
        <w:gridCol w:w="1134"/>
        <w:gridCol w:w="993"/>
        <w:gridCol w:w="992"/>
        <w:gridCol w:w="1134"/>
      </w:tblGrid>
      <w:tr w:rsidR="00F44A33" w:rsidRPr="00F44A33" w14:paraId="4B2BCB3F" w14:textId="77777777" w:rsidTr="00047DCC">
        <w:tc>
          <w:tcPr>
            <w:tcW w:w="1428" w:type="dxa"/>
            <w:shd w:val="clear" w:color="auto" w:fill="D0CECE" w:themeFill="background2" w:themeFillShade="E6"/>
            <w:vAlign w:val="bottom"/>
            <w:hideMark/>
          </w:tcPr>
          <w:p w14:paraId="46A190FA" w14:textId="77777777" w:rsidR="009060E7" w:rsidRPr="00F44A33" w:rsidRDefault="00047DCC" w:rsidP="00F44A33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R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esponse </w:t>
            </w:r>
          </w:p>
        </w:tc>
        <w:tc>
          <w:tcPr>
            <w:tcW w:w="1801" w:type="dxa"/>
            <w:shd w:val="clear" w:color="auto" w:fill="D0CECE" w:themeFill="background2" w:themeFillShade="E6"/>
            <w:vAlign w:val="bottom"/>
            <w:hideMark/>
          </w:tcPr>
          <w:p w14:paraId="3F43A8AD" w14:textId="77777777" w:rsidR="009060E7" w:rsidRPr="00F44A33" w:rsidRDefault="00047DCC" w:rsidP="00F44A33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redictors </w:t>
            </w:r>
          </w:p>
        </w:tc>
        <w:tc>
          <w:tcPr>
            <w:tcW w:w="452" w:type="dxa"/>
            <w:shd w:val="clear" w:color="auto" w:fill="D0CECE" w:themeFill="background2" w:themeFillShade="E6"/>
            <w:vAlign w:val="bottom"/>
            <w:hideMark/>
          </w:tcPr>
          <w:p w14:paraId="21AAD73B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df 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bottom"/>
            <w:hideMark/>
          </w:tcPr>
          <w:p w14:paraId="320FB8DE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bottom"/>
            <w:hideMark/>
          </w:tcPr>
          <w:p w14:paraId="2033EC99" w14:textId="77777777"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563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bottom"/>
            <w:hideMark/>
          </w:tcPr>
          <w:p w14:paraId="03087C28" w14:textId="77777777"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weight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  <w:hideMark/>
          </w:tcPr>
          <w:p w14:paraId="778FC473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bottom"/>
            <w:hideMark/>
          </w:tcPr>
          <w:p w14:paraId="61705947" w14:textId="77777777"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563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bottom"/>
            <w:hideMark/>
          </w:tcPr>
          <w:p w14:paraId="2E1DE01F" w14:textId="77777777"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weight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</w:t>
            </w:r>
          </w:p>
        </w:tc>
      </w:tr>
      <w:tr w:rsidR="00F44A33" w:rsidRPr="00F44A33" w14:paraId="4FB057DF" w14:textId="77777777" w:rsidTr="00F44A33">
        <w:tc>
          <w:tcPr>
            <w:tcW w:w="1428" w:type="dxa"/>
            <w:hideMark/>
          </w:tcPr>
          <w:p w14:paraId="6A20FC63" w14:textId="77777777"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1801" w:type="dxa"/>
            <w:hideMark/>
          </w:tcPr>
          <w:p w14:paraId="0E7F4D44" w14:textId="77777777"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Context interaction </w:t>
            </w:r>
          </w:p>
        </w:tc>
        <w:tc>
          <w:tcPr>
            <w:tcW w:w="452" w:type="dxa"/>
            <w:hideMark/>
          </w:tcPr>
          <w:p w14:paraId="44C3E160" w14:textId="77777777" w:rsidR="009060E7" w:rsidRPr="00047DCC" w:rsidRDefault="009060E7" w:rsidP="00F44A33">
            <w:pPr>
              <w:jc w:val="right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14:paraId="29A9F824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-365.8347</w:t>
            </w:r>
          </w:p>
        </w:tc>
        <w:tc>
          <w:tcPr>
            <w:tcW w:w="992" w:type="dxa"/>
            <w:hideMark/>
          </w:tcPr>
          <w:p w14:paraId="78A155DD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14:paraId="606808DA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  <w:tc>
          <w:tcPr>
            <w:tcW w:w="993" w:type="dxa"/>
            <w:hideMark/>
          </w:tcPr>
          <w:p w14:paraId="12287FEB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-365.8307</w:t>
            </w:r>
          </w:p>
        </w:tc>
        <w:tc>
          <w:tcPr>
            <w:tcW w:w="992" w:type="dxa"/>
            <w:hideMark/>
          </w:tcPr>
          <w:p w14:paraId="36C0235A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14:paraId="04190A64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</w:tr>
      <w:tr w:rsidR="00F44A33" w:rsidRPr="00F44A33" w14:paraId="2BC8EBFA" w14:textId="77777777" w:rsidTr="00F44A33">
        <w:tc>
          <w:tcPr>
            <w:tcW w:w="1428" w:type="dxa"/>
            <w:hideMark/>
          </w:tcPr>
          <w:p w14:paraId="3B27F308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1801" w:type="dxa"/>
            <w:hideMark/>
          </w:tcPr>
          <w:p w14:paraId="06A35EC3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Parameter </w:t>
            </w:r>
          </w:p>
        </w:tc>
        <w:tc>
          <w:tcPr>
            <w:tcW w:w="452" w:type="dxa"/>
            <w:hideMark/>
          </w:tcPr>
          <w:p w14:paraId="4477250C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14:paraId="29D51EC5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-328.9776</w:t>
            </w:r>
          </w:p>
        </w:tc>
        <w:tc>
          <w:tcPr>
            <w:tcW w:w="992" w:type="dxa"/>
            <w:hideMark/>
          </w:tcPr>
          <w:p w14:paraId="700A2422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36.86</w:t>
            </w:r>
          </w:p>
        </w:tc>
        <w:tc>
          <w:tcPr>
            <w:tcW w:w="1134" w:type="dxa"/>
            <w:hideMark/>
          </w:tcPr>
          <w:p w14:paraId="501931E0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719B2C39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-331.0490</w:t>
            </w:r>
          </w:p>
        </w:tc>
        <w:tc>
          <w:tcPr>
            <w:tcW w:w="992" w:type="dxa"/>
            <w:hideMark/>
          </w:tcPr>
          <w:p w14:paraId="68FC7C58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34.78</w:t>
            </w:r>
          </w:p>
        </w:tc>
        <w:tc>
          <w:tcPr>
            <w:tcW w:w="1134" w:type="dxa"/>
            <w:hideMark/>
          </w:tcPr>
          <w:p w14:paraId="393B1CB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14:paraId="74E9609C" w14:textId="77777777" w:rsidTr="00F44A33">
        <w:tc>
          <w:tcPr>
            <w:tcW w:w="1428" w:type="dxa"/>
            <w:hideMark/>
          </w:tcPr>
          <w:p w14:paraId="56118D57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1801" w:type="dxa"/>
            <w:hideMark/>
          </w:tcPr>
          <w:p w14:paraId="7A68334B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</w:t>
            </w:r>
          </w:p>
        </w:tc>
        <w:tc>
          <w:tcPr>
            <w:tcW w:w="452" w:type="dxa"/>
            <w:hideMark/>
          </w:tcPr>
          <w:p w14:paraId="0A84CBA5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14:paraId="2385351C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-309.6083</w:t>
            </w:r>
          </w:p>
        </w:tc>
        <w:tc>
          <w:tcPr>
            <w:tcW w:w="992" w:type="dxa"/>
            <w:hideMark/>
          </w:tcPr>
          <w:p w14:paraId="4853478A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56.23</w:t>
            </w:r>
          </w:p>
        </w:tc>
        <w:tc>
          <w:tcPr>
            <w:tcW w:w="1134" w:type="dxa"/>
            <w:hideMark/>
          </w:tcPr>
          <w:p w14:paraId="3DEC673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31400936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-312.2369</w:t>
            </w:r>
          </w:p>
        </w:tc>
        <w:tc>
          <w:tcPr>
            <w:tcW w:w="992" w:type="dxa"/>
            <w:hideMark/>
          </w:tcPr>
          <w:p w14:paraId="00AE35DC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53.59</w:t>
            </w:r>
          </w:p>
        </w:tc>
        <w:tc>
          <w:tcPr>
            <w:tcW w:w="1134" w:type="dxa"/>
            <w:hideMark/>
          </w:tcPr>
          <w:p w14:paraId="3654F936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14:paraId="6A2C5BE1" w14:textId="77777777" w:rsidTr="00F44A33">
        <w:tc>
          <w:tcPr>
            <w:tcW w:w="1428" w:type="dxa"/>
            <w:hideMark/>
          </w:tcPr>
          <w:p w14:paraId="382C3DBA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1801" w:type="dxa"/>
            <w:hideMark/>
          </w:tcPr>
          <w:p w14:paraId="1448E88E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Null </w:t>
            </w:r>
          </w:p>
        </w:tc>
        <w:tc>
          <w:tcPr>
            <w:tcW w:w="452" w:type="dxa"/>
            <w:hideMark/>
          </w:tcPr>
          <w:p w14:paraId="4C0E5D36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14:paraId="5E1AC159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-298.5859</w:t>
            </w:r>
          </w:p>
        </w:tc>
        <w:tc>
          <w:tcPr>
            <w:tcW w:w="992" w:type="dxa"/>
            <w:hideMark/>
          </w:tcPr>
          <w:p w14:paraId="43786047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67.25</w:t>
            </w:r>
          </w:p>
        </w:tc>
        <w:tc>
          <w:tcPr>
            <w:tcW w:w="1134" w:type="dxa"/>
            <w:hideMark/>
          </w:tcPr>
          <w:p w14:paraId="7C1261AD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683A1A8A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-302.1584</w:t>
            </w:r>
          </w:p>
        </w:tc>
        <w:tc>
          <w:tcPr>
            <w:tcW w:w="992" w:type="dxa"/>
            <w:hideMark/>
          </w:tcPr>
          <w:p w14:paraId="1819012B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63.67</w:t>
            </w:r>
          </w:p>
        </w:tc>
        <w:tc>
          <w:tcPr>
            <w:tcW w:w="1134" w:type="dxa"/>
            <w:hideMark/>
          </w:tcPr>
          <w:p w14:paraId="124E8AB7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14:paraId="33443373" w14:textId="77777777" w:rsidTr="00F44A33">
        <w:tc>
          <w:tcPr>
            <w:tcW w:w="1428" w:type="dxa"/>
            <w:hideMark/>
          </w:tcPr>
          <w:p w14:paraId="42CDB8EE" w14:textId="77777777"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1801" w:type="dxa"/>
            <w:hideMark/>
          </w:tcPr>
          <w:p w14:paraId="693C5568" w14:textId="77777777"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Context interaction </w:t>
            </w:r>
          </w:p>
        </w:tc>
        <w:tc>
          <w:tcPr>
            <w:tcW w:w="452" w:type="dxa"/>
            <w:hideMark/>
          </w:tcPr>
          <w:p w14:paraId="4AA5538B" w14:textId="77777777" w:rsidR="009060E7" w:rsidRPr="00047DCC" w:rsidRDefault="009060E7" w:rsidP="00F44A33">
            <w:pPr>
              <w:jc w:val="right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14:paraId="4382D064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-348.0369</w:t>
            </w:r>
          </w:p>
        </w:tc>
        <w:tc>
          <w:tcPr>
            <w:tcW w:w="992" w:type="dxa"/>
            <w:hideMark/>
          </w:tcPr>
          <w:p w14:paraId="0C815E74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14:paraId="5A113E9D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  <w:tc>
          <w:tcPr>
            <w:tcW w:w="993" w:type="dxa"/>
            <w:hideMark/>
          </w:tcPr>
          <w:p w14:paraId="629BE8E5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-348.9852</w:t>
            </w:r>
          </w:p>
        </w:tc>
        <w:tc>
          <w:tcPr>
            <w:tcW w:w="992" w:type="dxa"/>
            <w:hideMark/>
          </w:tcPr>
          <w:p w14:paraId="12428D8F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14:paraId="1E3D5DCD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</w:tr>
      <w:tr w:rsidR="00F44A33" w:rsidRPr="00F44A33" w14:paraId="3A710796" w14:textId="77777777" w:rsidTr="00047DCC">
        <w:tc>
          <w:tcPr>
            <w:tcW w:w="1428" w:type="dxa"/>
            <w:hideMark/>
          </w:tcPr>
          <w:p w14:paraId="5A76A289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1801" w:type="dxa"/>
            <w:hideMark/>
          </w:tcPr>
          <w:p w14:paraId="144640DB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</w:t>
            </w:r>
          </w:p>
        </w:tc>
        <w:tc>
          <w:tcPr>
            <w:tcW w:w="452" w:type="dxa"/>
            <w:hideMark/>
          </w:tcPr>
          <w:p w14:paraId="6632D84A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14:paraId="47A07AB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-310.8631</w:t>
            </w:r>
          </w:p>
        </w:tc>
        <w:tc>
          <w:tcPr>
            <w:tcW w:w="992" w:type="dxa"/>
            <w:vAlign w:val="center"/>
            <w:hideMark/>
          </w:tcPr>
          <w:p w14:paraId="729033D7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37.17</w:t>
            </w:r>
          </w:p>
        </w:tc>
        <w:tc>
          <w:tcPr>
            <w:tcW w:w="1134" w:type="dxa"/>
            <w:hideMark/>
          </w:tcPr>
          <w:p w14:paraId="2121A0E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2225FFF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-313.1746</w:t>
            </w:r>
          </w:p>
        </w:tc>
        <w:tc>
          <w:tcPr>
            <w:tcW w:w="992" w:type="dxa"/>
            <w:hideMark/>
          </w:tcPr>
          <w:p w14:paraId="26D9052A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35.81</w:t>
            </w:r>
          </w:p>
        </w:tc>
        <w:tc>
          <w:tcPr>
            <w:tcW w:w="1134" w:type="dxa"/>
            <w:hideMark/>
          </w:tcPr>
          <w:p w14:paraId="6EA7E7B5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14:paraId="347D7392" w14:textId="77777777" w:rsidTr="00F44A33">
        <w:tc>
          <w:tcPr>
            <w:tcW w:w="1428" w:type="dxa"/>
            <w:hideMark/>
          </w:tcPr>
          <w:p w14:paraId="1D3CD0A6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1801" w:type="dxa"/>
            <w:hideMark/>
          </w:tcPr>
          <w:p w14:paraId="411D2AE6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Parameter </w:t>
            </w:r>
          </w:p>
        </w:tc>
        <w:tc>
          <w:tcPr>
            <w:tcW w:w="452" w:type="dxa"/>
            <w:hideMark/>
          </w:tcPr>
          <w:p w14:paraId="1703950C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14:paraId="7F79988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-307.5661</w:t>
            </w:r>
          </w:p>
        </w:tc>
        <w:tc>
          <w:tcPr>
            <w:tcW w:w="992" w:type="dxa"/>
            <w:hideMark/>
          </w:tcPr>
          <w:p w14:paraId="76DCF1C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40.47</w:t>
            </w:r>
          </w:p>
        </w:tc>
        <w:tc>
          <w:tcPr>
            <w:tcW w:w="1134" w:type="dxa"/>
            <w:hideMark/>
          </w:tcPr>
          <w:p w14:paraId="1533E91D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0382A939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-310.6167</w:t>
            </w:r>
          </w:p>
        </w:tc>
        <w:tc>
          <w:tcPr>
            <w:tcW w:w="992" w:type="dxa"/>
            <w:hideMark/>
          </w:tcPr>
          <w:p w14:paraId="46A29F36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38.37</w:t>
            </w:r>
          </w:p>
        </w:tc>
        <w:tc>
          <w:tcPr>
            <w:tcW w:w="1134" w:type="dxa"/>
            <w:hideMark/>
          </w:tcPr>
          <w:p w14:paraId="67C2BA99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14:paraId="003C7E6E" w14:textId="77777777" w:rsidTr="00F44A33">
        <w:tc>
          <w:tcPr>
            <w:tcW w:w="1428" w:type="dxa"/>
            <w:hideMark/>
          </w:tcPr>
          <w:p w14:paraId="4BC788C5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1801" w:type="dxa"/>
            <w:hideMark/>
          </w:tcPr>
          <w:p w14:paraId="40D6DA83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Null </w:t>
            </w:r>
          </w:p>
        </w:tc>
        <w:tc>
          <w:tcPr>
            <w:tcW w:w="452" w:type="dxa"/>
            <w:hideMark/>
          </w:tcPr>
          <w:p w14:paraId="0D89B17A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14:paraId="766A5FA5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-298.6007</w:t>
            </w:r>
          </w:p>
        </w:tc>
        <w:tc>
          <w:tcPr>
            <w:tcW w:w="992" w:type="dxa"/>
            <w:hideMark/>
          </w:tcPr>
          <w:p w14:paraId="69E44456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49.44</w:t>
            </w:r>
          </w:p>
        </w:tc>
        <w:tc>
          <w:tcPr>
            <w:tcW w:w="1134" w:type="dxa"/>
            <w:hideMark/>
          </w:tcPr>
          <w:p w14:paraId="751E79C5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2D32754D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-302.1654</w:t>
            </w:r>
          </w:p>
        </w:tc>
        <w:tc>
          <w:tcPr>
            <w:tcW w:w="992" w:type="dxa"/>
            <w:hideMark/>
          </w:tcPr>
          <w:p w14:paraId="03CAD2D5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46.82</w:t>
            </w:r>
          </w:p>
        </w:tc>
        <w:tc>
          <w:tcPr>
            <w:tcW w:w="1134" w:type="dxa"/>
            <w:hideMark/>
          </w:tcPr>
          <w:p w14:paraId="1706F046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14:paraId="47EBEFA6" w14:textId="77777777" w:rsidTr="00F44A33">
        <w:tc>
          <w:tcPr>
            <w:tcW w:w="1428" w:type="dxa"/>
            <w:hideMark/>
          </w:tcPr>
          <w:p w14:paraId="2BCB0300" w14:textId="77777777"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1801" w:type="dxa"/>
            <w:hideMark/>
          </w:tcPr>
          <w:p w14:paraId="263EE3F4" w14:textId="77777777"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Parameter </w:t>
            </w:r>
          </w:p>
        </w:tc>
        <w:tc>
          <w:tcPr>
            <w:tcW w:w="452" w:type="dxa"/>
            <w:hideMark/>
          </w:tcPr>
          <w:p w14:paraId="55BBDE68" w14:textId="77777777" w:rsidR="009060E7" w:rsidRPr="00047DCC" w:rsidRDefault="009060E7" w:rsidP="00F44A33">
            <w:pPr>
              <w:jc w:val="right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14:paraId="235022A9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-314.1987</w:t>
            </w:r>
          </w:p>
        </w:tc>
        <w:tc>
          <w:tcPr>
            <w:tcW w:w="992" w:type="dxa"/>
            <w:hideMark/>
          </w:tcPr>
          <w:p w14:paraId="544E6FEE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14:paraId="6028E2B0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0.53</w:t>
            </w:r>
          </w:p>
        </w:tc>
        <w:tc>
          <w:tcPr>
            <w:tcW w:w="993" w:type="dxa"/>
            <w:hideMark/>
          </w:tcPr>
          <w:p w14:paraId="1B8D62FD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-316.4061</w:t>
            </w:r>
          </w:p>
        </w:tc>
        <w:tc>
          <w:tcPr>
            <w:tcW w:w="992" w:type="dxa"/>
            <w:hideMark/>
          </w:tcPr>
          <w:p w14:paraId="1A1B50B7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14:paraId="24F436ED" w14:textId="77777777"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0.72</w:t>
            </w:r>
          </w:p>
        </w:tc>
      </w:tr>
      <w:tr w:rsidR="00F44A33" w:rsidRPr="00F44A33" w14:paraId="694C4D72" w14:textId="77777777" w:rsidTr="00F44A33">
        <w:tc>
          <w:tcPr>
            <w:tcW w:w="1428" w:type="dxa"/>
            <w:hideMark/>
          </w:tcPr>
          <w:p w14:paraId="41558D12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1801" w:type="dxa"/>
            <w:hideMark/>
          </w:tcPr>
          <w:p w14:paraId="0A11B63F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interaction </w:t>
            </w:r>
          </w:p>
        </w:tc>
        <w:tc>
          <w:tcPr>
            <w:tcW w:w="452" w:type="dxa"/>
            <w:hideMark/>
          </w:tcPr>
          <w:p w14:paraId="64894608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14:paraId="01509520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-313.7740</w:t>
            </w:r>
          </w:p>
        </w:tc>
        <w:tc>
          <w:tcPr>
            <w:tcW w:w="992" w:type="dxa"/>
            <w:hideMark/>
          </w:tcPr>
          <w:p w14:paraId="0B75958A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0.42</w:t>
            </w:r>
          </w:p>
        </w:tc>
        <w:tc>
          <w:tcPr>
            <w:tcW w:w="1134" w:type="dxa"/>
            <w:hideMark/>
          </w:tcPr>
          <w:p w14:paraId="38F6895B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0.43</w:t>
            </w:r>
          </w:p>
        </w:tc>
        <w:tc>
          <w:tcPr>
            <w:tcW w:w="993" w:type="dxa"/>
            <w:hideMark/>
          </w:tcPr>
          <w:p w14:paraId="65002C34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-314.0783</w:t>
            </w:r>
          </w:p>
        </w:tc>
        <w:tc>
          <w:tcPr>
            <w:tcW w:w="992" w:type="dxa"/>
            <w:hideMark/>
          </w:tcPr>
          <w:p w14:paraId="52ACBBA1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2.33</w:t>
            </w:r>
          </w:p>
        </w:tc>
        <w:tc>
          <w:tcPr>
            <w:tcW w:w="1134" w:type="dxa"/>
            <w:hideMark/>
          </w:tcPr>
          <w:p w14:paraId="47A6E92D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0.23</w:t>
            </w:r>
          </w:p>
        </w:tc>
      </w:tr>
      <w:tr w:rsidR="00F44A33" w:rsidRPr="00F44A33" w14:paraId="50A1C601" w14:textId="77777777" w:rsidTr="00F44A33">
        <w:tc>
          <w:tcPr>
            <w:tcW w:w="1428" w:type="dxa"/>
            <w:hideMark/>
          </w:tcPr>
          <w:p w14:paraId="2F43F00C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1801" w:type="dxa"/>
            <w:hideMark/>
          </w:tcPr>
          <w:p w14:paraId="5C5CC9D5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 </w:t>
            </w:r>
          </w:p>
        </w:tc>
        <w:tc>
          <w:tcPr>
            <w:tcW w:w="452" w:type="dxa"/>
            <w:hideMark/>
          </w:tcPr>
          <w:p w14:paraId="6EB7E989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14:paraId="208721F6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-308.9691</w:t>
            </w:r>
          </w:p>
        </w:tc>
        <w:tc>
          <w:tcPr>
            <w:tcW w:w="992" w:type="dxa"/>
            <w:hideMark/>
          </w:tcPr>
          <w:p w14:paraId="7B2E9123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5.23</w:t>
            </w:r>
          </w:p>
        </w:tc>
        <w:tc>
          <w:tcPr>
            <w:tcW w:w="1134" w:type="dxa"/>
            <w:hideMark/>
          </w:tcPr>
          <w:p w14:paraId="4482E373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0.04</w:t>
            </w:r>
          </w:p>
        </w:tc>
        <w:tc>
          <w:tcPr>
            <w:tcW w:w="993" w:type="dxa"/>
            <w:hideMark/>
          </w:tcPr>
          <w:p w14:paraId="6C5C96CE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-311.0324</w:t>
            </w:r>
          </w:p>
        </w:tc>
        <w:tc>
          <w:tcPr>
            <w:tcW w:w="992" w:type="dxa"/>
            <w:hideMark/>
          </w:tcPr>
          <w:p w14:paraId="3712497C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5.37</w:t>
            </w:r>
          </w:p>
        </w:tc>
        <w:tc>
          <w:tcPr>
            <w:tcW w:w="1134" w:type="dxa"/>
            <w:hideMark/>
          </w:tcPr>
          <w:p w14:paraId="5399DC35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0.05</w:t>
            </w:r>
          </w:p>
        </w:tc>
      </w:tr>
      <w:tr w:rsidR="00F44A33" w:rsidRPr="00F44A33" w14:paraId="46ED5BE7" w14:textId="77777777" w:rsidTr="00F44A33">
        <w:tc>
          <w:tcPr>
            <w:tcW w:w="1428" w:type="dxa"/>
            <w:hideMark/>
          </w:tcPr>
          <w:p w14:paraId="6935EBA7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1801" w:type="dxa"/>
            <w:hideMark/>
          </w:tcPr>
          <w:p w14:paraId="549E56F5" w14:textId="77777777"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Null </w:t>
            </w:r>
          </w:p>
        </w:tc>
        <w:tc>
          <w:tcPr>
            <w:tcW w:w="452" w:type="dxa"/>
            <w:hideMark/>
          </w:tcPr>
          <w:p w14:paraId="597AE76B" w14:textId="77777777"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14:paraId="5B0CDBB8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-296.4492</w:t>
            </w:r>
          </w:p>
        </w:tc>
        <w:tc>
          <w:tcPr>
            <w:tcW w:w="992" w:type="dxa"/>
            <w:hideMark/>
          </w:tcPr>
          <w:p w14:paraId="1756189C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17.75</w:t>
            </w:r>
          </w:p>
        </w:tc>
        <w:tc>
          <w:tcPr>
            <w:tcW w:w="1134" w:type="dxa"/>
            <w:hideMark/>
          </w:tcPr>
          <w:p w14:paraId="5CFAC853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14:paraId="1BE40613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-299.8973</w:t>
            </w:r>
          </w:p>
        </w:tc>
        <w:tc>
          <w:tcPr>
            <w:tcW w:w="992" w:type="dxa"/>
            <w:hideMark/>
          </w:tcPr>
          <w:p w14:paraId="15C9CC4A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16.51</w:t>
            </w:r>
          </w:p>
        </w:tc>
        <w:tc>
          <w:tcPr>
            <w:tcW w:w="1134" w:type="dxa"/>
            <w:hideMark/>
          </w:tcPr>
          <w:p w14:paraId="79AEEDFF" w14:textId="77777777"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</w:tbl>
    <w:p w14:paraId="1AEB87F5" w14:textId="77777777" w:rsidR="00F44A33" w:rsidRDefault="00F44A33" w:rsidP="00F44A33">
      <w:pPr>
        <w:spacing w:before="100" w:beforeAutospacing="1" w:after="0" w:line="240" w:lineRule="auto"/>
        <w:rPr>
          <w:rFonts w:eastAsia="Times New Roman" w:cstheme="minorHAnsi"/>
          <w:b/>
          <w:lang w:val="en-GB" w:eastAsia="pl-PL"/>
        </w:rPr>
      </w:pPr>
    </w:p>
    <w:p w14:paraId="58CB9014" w14:textId="77777777" w:rsidR="00F44A33" w:rsidRDefault="00F44A33" w:rsidP="00F44A33">
      <w:pPr>
        <w:spacing w:before="100" w:beforeAutospacing="1" w:after="0" w:line="240" w:lineRule="auto"/>
        <w:rPr>
          <w:rFonts w:eastAsia="Times New Roman" w:cstheme="minorHAnsi"/>
          <w:b/>
          <w:lang w:val="en-GB" w:eastAsia="pl-PL"/>
        </w:rPr>
      </w:pPr>
      <w:r>
        <w:rPr>
          <w:rFonts w:eastAsia="Times New Roman" w:cstheme="minorHAnsi"/>
          <w:b/>
          <w:lang w:val="en-GB" w:eastAsia="pl-PL"/>
        </w:rPr>
        <w:br w:type="textWrapping" w:clear="all"/>
      </w:r>
    </w:p>
    <w:p w14:paraId="14633373" w14:textId="77777777" w:rsidR="009060E7" w:rsidRDefault="00754615" w:rsidP="00F44A33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lang w:val="en-GB" w:eastAsia="pl-PL"/>
        </w:rPr>
        <w:t>Interpretation:</w:t>
      </w:r>
      <w:r w:rsidRPr="00754615">
        <w:rPr>
          <w:rFonts w:eastAsia="Times New Roman" w:cstheme="minorHAnsi"/>
          <w:lang w:val="en-GB" w:eastAsia="pl-PL"/>
        </w:rPr>
        <w:t xml:space="preserve"> </w:t>
      </w:r>
      <w:r w:rsidR="009060E7" w:rsidRPr="00754615">
        <w:rPr>
          <w:rFonts w:eastAsia="Times New Roman" w:cstheme="minorHAnsi"/>
          <w:lang w:val="en-GB" w:eastAsia="pl-PL"/>
        </w:rPr>
        <w:t xml:space="preserve">All best models contained an interaction with a </w:t>
      </w:r>
      <w:r w:rsidRPr="00754615">
        <w:rPr>
          <w:rFonts w:eastAsia="Times New Roman" w:cstheme="minorHAnsi"/>
          <w:lang w:val="en-GB" w:eastAsia="pl-PL"/>
        </w:rPr>
        <w:t xml:space="preserve">behaviour </w:t>
      </w:r>
      <w:r w:rsidR="009060E7" w:rsidRPr="00754615">
        <w:rPr>
          <w:rFonts w:eastAsia="Times New Roman" w:cstheme="minorHAnsi"/>
          <w:lang w:val="en-GB" w:eastAsia="pl-PL"/>
        </w:rPr>
        <w:t>parameter</w:t>
      </w:r>
      <w:r w:rsidRPr="00754615">
        <w:rPr>
          <w:rFonts w:eastAsia="Times New Roman" w:cstheme="minorHAnsi"/>
          <w:lang w:val="en-GB" w:eastAsia="pl-PL"/>
        </w:rPr>
        <w:t xml:space="preserve">. </w:t>
      </w:r>
      <w:r w:rsidR="009060E7" w:rsidRPr="00754615">
        <w:rPr>
          <w:rFonts w:eastAsia="Times New Roman" w:cstheme="minorHAnsi"/>
          <w:lang w:val="en-GB" w:eastAsia="pl-PL"/>
        </w:rPr>
        <w:t>All models with interaction provided a better fit than the context (low vs high risk) models</w:t>
      </w:r>
      <w:r w:rsidRPr="00754615">
        <w:rPr>
          <w:rFonts w:eastAsia="Times New Roman" w:cstheme="minorHAnsi"/>
          <w:lang w:val="en-GB" w:eastAsia="pl-PL"/>
        </w:rPr>
        <w:t>; effect sizes for the models with interaction terms presented in Table S2.</w:t>
      </w:r>
    </w:p>
    <w:p w14:paraId="3CB970A2" w14:textId="77777777" w:rsidR="00F44A33" w:rsidRPr="00754615" w:rsidRDefault="00F44A33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14:paraId="3122D6FC" w14:textId="41EAE20C" w:rsidR="009060E7" w:rsidRDefault="009060E7" w:rsidP="00047DCC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Table S2</w:t>
      </w:r>
      <w:r w:rsidR="00754615" w:rsidRPr="00754615">
        <w:rPr>
          <w:rFonts w:eastAsia="Times New Roman" w:cstheme="minorHAnsi"/>
          <w:b/>
          <w:bCs/>
          <w:lang w:val="en-GB" w:eastAsia="pl-PL"/>
        </w:rPr>
        <w:t xml:space="preserve"> </w:t>
      </w:r>
      <w:r w:rsidR="00754615" w:rsidRPr="00754615">
        <w:rPr>
          <w:rFonts w:cstheme="minorHAnsi"/>
          <w:lang w:val="en-GB"/>
        </w:rPr>
        <w:t xml:space="preserve">Effects of behavioural variables and predation context on foraging efficiency of long-billed hermits. Effects are model slope estimates derived from Bayesian MCMC generalized linear model. </w:t>
      </w:r>
      <w:r w:rsidR="00754615" w:rsidRPr="00754615">
        <w:rPr>
          <w:rFonts w:eastAsia="Times New Roman" w:cstheme="minorHAnsi"/>
          <w:lang w:val="en-GB" w:eastAsia="pl-PL"/>
        </w:rPr>
        <w:t>O</w:t>
      </w:r>
      <w:r w:rsidRPr="00754615">
        <w:rPr>
          <w:rFonts w:eastAsia="Times New Roman" w:cstheme="minorHAnsi"/>
          <w:lang w:val="en-GB" w:eastAsia="pl-PL"/>
        </w:rPr>
        <w:t xml:space="preserve">nly models that improved fit compared to the null models are </w:t>
      </w:r>
      <w:r w:rsidR="00754615" w:rsidRPr="00754615">
        <w:rPr>
          <w:rFonts w:eastAsia="Times New Roman" w:cstheme="minorHAnsi"/>
          <w:lang w:val="en-GB" w:eastAsia="pl-PL"/>
        </w:rPr>
        <w:t>presented.</w:t>
      </w:r>
    </w:p>
    <w:p w14:paraId="209E5D1D" w14:textId="77777777" w:rsidR="006C08CC" w:rsidRPr="00754615" w:rsidRDefault="006C08CC" w:rsidP="00047DCC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</w:p>
    <w:tbl>
      <w:tblPr>
        <w:tblStyle w:val="Tabela-Siatka"/>
        <w:tblW w:w="12088" w:type="dxa"/>
        <w:tblLayout w:type="fixed"/>
        <w:tblLook w:val="04A0" w:firstRow="1" w:lastRow="0" w:firstColumn="1" w:lastColumn="0" w:noHBand="0" w:noVBand="1"/>
      </w:tblPr>
      <w:tblGrid>
        <w:gridCol w:w="1574"/>
        <w:gridCol w:w="1438"/>
        <w:gridCol w:w="2417"/>
        <w:gridCol w:w="992"/>
        <w:gridCol w:w="992"/>
        <w:gridCol w:w="992"/>
        <w:gridCol w:w="851"/>
        <w:gridCol w:w="989"/>
        <w:gridCol w:w="851"/>
        <w:gridCol w:w="992"/>
      </w:tblGrid>
      <w:tr w:rsidR="00F44A33" w:rsidRPr="006C08CC" w14:paraId="2B5C6365" w14:textId="77777777" w:rsidTr="006C08CC">
        <w:tc>
          <w:tcPr>
            <w:tcW w:w="1574" w:type="dxa"/>
            <w:shd w:val="clear" w:color="auto" w:fill="BFBFBF" w:themeFill="background1" w:themeFillShade="BF"/>
            <w:hideMark/>
          </w:tcPr>
          <w:p w14:paraId="7666D3A9" w14:textId="77777777" w:rsidR="009060E7" w:rsidRPr="006C08CC" w:rsidRDefault="00047DCC" w:rsidP="00047DCC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R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esponse </w:t>
            </w:r>
          </w:p>
        </w:tc>
        <w:tc>
          <w:tcPr>
            <w:tcW w:w="1438" w:type="dxa"/>
            <w:shd w:val="clear" w:color="auto" w:fill="BFBFBF" w:themeFill="background1" w:themeFillShade="BF"/>
            <w:hideMark/>
          </w:tcPr>
          <w:p w14:paraId="61D2E816" w14:textId="77777777" w:rsidR="009060E7" w:rsidRPr="006C08CC" w:rsidRDefault="00047DCC" w:rsidP="00047DCC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arameter </w:t>
            </w:r>
          </w:p>
        </w:tc>
        <w:tc>
          <w:tcPr>
            <w:tcW w:w="2417" w:type="dxa"/>
            <w:shd w:val="clear" w:color="auto" w:fill="BFBFBF" w:themeFill="background1" w:themeFillShade="BF"/>
            <w:hideMark/>
          </w:tcPr>
          <w:p w14:paraId="731E9132" w14:textId="77777777" w:rsidR="009060E7" w:rsidRPr="006C08CC" w:rsidRDefault="00047DCC" w:rsidP="00047DCC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redictor </w:t>
            </w:r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14:paraId="76B51902" w14:textId="77777777"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Effect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size</w:t>
            </w:r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14:paraId="1C8D46A8" w14:textId="77777777"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CI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2.5</w:t>
            </w: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%</w:t>
            </w:r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14:paraId="72DC6848" w14:textId="77777777"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CI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97.5</w:t>
            </w: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%</w:t>
            </w:r>
          </w:p>
        </w:tc>
        <w:tc>
          <w:tcPr>
            <w:tcW w:w="851" w:type="dxa"/>
            <w:shd w:val="clear" w:color="auto" w:fill="BFBFBF" w:themeFill="background1" w:themeFillShade="BF"/>
            <w:hideMark/>
          </w:tcPr>
          <w:p w14:paraId="0C99766A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pMCMC</w:t>
            </w:r>
          </w:p>
        </w:tc>
        <w:tc>
          <w:tcPr>
            <w:tcW w:w="989" w:type="dxa"/>
            <w:shd w:val="clear" w:color="auto" w:fill="BFBFBF" w:themeFill="background1" w:themeFillShade="BF"/>
            <w:hideMark/>
          </w:tcPr>
          <w:p w14:paraId="7660757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intercept</w:t>
            </w:r>
          </w:p>
        </w:tc>
        <w:tc>
          <w:tcPr>
            <w:tcW w:w="851" w:type="dxa"/>
            <w:shd w:val="clear" w:color="auto" w:fill="BFBFBF" w:themeFill="background1" w:themeFillShade="BF"/>
            <w:hideMark/>
          </w:tcPr>
          <w:p w14:paraId="6D87D9A1" w14:textId="77777777"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N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indv</w:t>
            </w:r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14:paraId="0FB4EFB3" w14:textId="77777777"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N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obs</w:t>
            </w:r>
          </w:p>
        </w:tc>
      </w:tr>
      <w:tr w:rsidR="00F44A33" w:rsidRPr="006C08CC" w14:paraId="5CD6F39D" w14:textId="77777777" w:rsidTr="006C08CC">
        <w:tc>
          <w:tcPr>
            <w:tcW w:w="1574" w:type="dxa"/>
            <w:hideMark/>
          </w:tcPr>
          <w:p w14:paraId="125DEA78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37F8A9BA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2417" w:type="dxa"/>
            <w:hideMark/>
          </w:tcPr>
          <w:p w14:paraId="59941DE2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contextHigh risk </w:t>
            </w:r>
          </w:p>
        </w:tc>
        <w:tc>
          <w:tcPr>
            <w:tcW w:w="992" w:type="dxa"/>
            <w:hideMark/>
          </w:tcPr>
          <w:p w14:paraId="224B54B9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-0.0352</w:t>
            </w:r>
          </w:p>
        </w:tc>
        <w:tc>
          <w:tcPr>
            <w:tcW w:w="992" w:type="dxa"/>
            <w:hideMark/>
          </w:tcPr>
          <w:p w14:paraId="3EFE0D15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-0.0668</w:t>
            </w:r>
          </w:p>
        </w:tc>
        <w:tc>
          <w:tcPr>
            <w:tcW w:w="992" w:type="dxa"/>
            <w:hideMark/>
          </w:tcPr>
          <w:p w14:paraId="3348AA3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-0.0021</w:t>
            </w:r>
          </w:p>
        </w:tc>
        <w:tc>
          <w:tcPr>
            <w:tcW w:w="851" w:type="dxa"/>
            <w:hideMark/>
          </w:tcPr>
          <w:p w14:paraId="05B77DD7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0.0347</w:t>
            </w:r>
          </w:p>
        </w:tc>
        <w:tc>
          <w:tcPr>
            <w:tcW w:w="989" w:type="dxa"/>
            <w:hideMark/>
          </w:tcPr>
          <w:p w14:paraId="6B6363DD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0.5343</w:t>
            </w:r>
          </w:p>
        </w:tc>
        <w:tc>
          <w:tcPr>
            <w:tcW w:w="851" w:type="dxa"/>
            <w:hideMark/>
          </w:tcPr>
          <w:p w14:paraId="5EFB0F6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14:paraId="608B58B5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14:paraId="7B3E44E4" w14:textId="77777777" w:rsidTr="006C08CC">
        <w:tc>
          <w:tcPr>
            <w:tcW w:w="1574" w:type="dxa"/>
            <w:hideMark/>
          </w:tcPr>
          <w:p w14:paraId="3D4CC266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44CAA044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2417" w:type="dxa"/>
            <w:hideMark/>
          </w:tcPr>
          <w:p w14:paraId="2C73290C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992" w:type="dxa"/>
            <w:hideMark/>
          </w:tcPr>
          <w:p w14:paraId="58FA6AC1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0.0663</w:t>
            </w:r>
          </w:p>
        </w:tc>
        <w:tc>
          <w:tcPr>
            <w:tcW w:w="992" w:type="dxa"/>
            <w:hideMark/>
          </w:tcPr>
          <w:p w14:paraId="19DE4D33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0.0195</w:t>
            </w:r>
          </w:p>
        </w:tc>
        <w:tc>
          <w:tcPr>
            <w:tcW w:w="992" w:type="dxa"/>
            <w:hideMark/>
          </w:tcPr>
          <w:p w14:paraId="00446444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0.1072</w:t>
            </w:r>
          </w:p>
        </w:tc>
        <w:tc>
          <w:tcPr>
            <w:tcW w:w="851" w:type="dxa"/>
            <w:hideMark/>
          </w:tcPr>
          <w:p w14:paraId="5AC723C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0.0044</w:t>
            </w:r>
          </w:p>
        </w:tc>
        <w:tc>
          <w:tcPr>
            <w:tcW w:w="989" w:type="dxa"/>
            <w:hideMark/>
          </w:tcPr>
          <w:p w14:paraId="24B5319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0.5343</w:t>
            </w:r>
          </w:p>
        </w:tc>
        <w:tc>
          <w:tcPr>
            <w:tcW w:w="851" w:type="dxa"/>
            <w:hideMark/>
          </w:tcPr>
          <w:p w14:paraId="563B2B1E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14:paraId="36F1F484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14:paraId="6F87F486" w14:textId="77777777" w:rsidTr="006C08CC">
        <w:tc>
          <w:tcPr>
            <w:tcW w:w="1574" w:type="dxa"/>
            <w:hideMark/>
          </w:tcPr>
          <w:p w14:paraId="1EE5CFF9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716841B8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arousal </w:t>
            </w:r>
          </w:p>
        </w:tc>
        <w:tc>
          <w:tcPr>
            <w:tcW w:w="2417" w:type="dxa"/>
            <w:hideMark/>
          </w:tcPr>
          <w:p w14:paraId="47AE2DDF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contextHigh risk:arousal </w:t>
            </w:r>
          </w:p>
        </w:tc>
        <w:tc>
          <w:tcPr>
            <w:tcW w:w="992" w:type="dxa"/>
            <w:hideMark/>
          </w:tcPr>
          <w:p w14:paraId="0022B1F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0.2815</w:t>
            </w:r>
          </w:p>
        </w:tc>
        <w:tc>
          <w:tcPr>
            <w:tcW w:w="992" w:type="dxa"/>
            <w:hideMark/>
          </w:tcPr>
          <w:p w14:paraId="4E10E335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0.1853</w:t>
            </w:r>
          </w:p>
        </w:tc>
        <w:tc>
          <w:tcPr>
            <w:tcW w:w="992" w:type="dxa"/>
            <w:hideMark/>
          </w:tcPr>
          <w:p w14:paraId="78E949B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0.3802</w:t>
            </w:r>
          </w:p>
        </w:tc>
        <w:tc>
          <w:tcPr>
            <w:tcW w:w="851" w:type="dxa"/>
            <w:hideMark/>
          </w:tcPr>
          <w:p w14:paraId="28BEA596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0.0001</w:t>
            </w:r>
          </w:p>
        </w:tc>
        <w:tc>
          <w:tcPr>
            <w:tcW w:w="989" w:type="dxa"/>
            <w:hideMark/>
          </w:tcPr>
          <w:p w14:paraId="34E341B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0.5343</w:t>
            </w:r>
          </w:p>
        </w:tc>
        <w:tc>
          <w:tcPr>
            <w:tcW w:w="851" w:type="dxa"/>
            <w:hideMark/>
          </w:tcPr>
          <w:p w14:paraId="0D5DA5C3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14:paraId="5CACE2D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14:paraId="6A986621" w14:textId="77777777" w:rsidTr="006C08CC">
        <w:tc>
          <w:tcPr>
            <w:tcW w:w="1574" w:type="dxa"/>
            <w:hideMark/>
          </w:tcPr>
          <w:p w14:paraId="4DBCBA61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5C470543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2417" w:type="dxa"/>
            <w:hideMark/>
          </w:tcPr>
          <w:p w14:paraId="2BA1B601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contextHigh risk </w:t>
            </w:r>
          </w:p>
        </w:tc>
        <w:tc>
          <w:tcPr>
            <w:tcW w:w="992" w:type="dxa"/>
            <w:hideMark/>
          </w:tcPr>
          <w:p w14:paraId="75D015F5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-0.0645</w:t>
            </w:r>
          </w:p>
        </w:tc>
        <w:tc>
          <w:tcPr>
            <w:tcW w:w="992" w:type="dxa"/>
            <w:hideMark/>
          </w:tcPr>
          <w:p w14:paraId="4AE750CA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-0.0972</w:t>
            </w:r>
          </w:p>
        </w:tc>
        <w:tc>
          <w:tcPr>
            <w:tcW w:w="992" w:type="dxa"/>
            <w:hideMark/>
          </w:tcPr>
          <w:p w14:paraId="271327B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-0.0316</w:t>
            </w:r>
          </w:p>
        </w:tc>
        <w:tc>
          <w:tcPr>
            <w:tcW w:w="851" w:type="dxa"/>
            <w:hideMark/>
          </w:tcPr>
          <w:p w14:paraId="24E7FC5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0.0002</w:t>
            </w:r>
          </w:p>
        </w:tc>
        <w:tc>
          <w:tcPr>
            <w:tcW w:w="989" w:type="dxa"/>
            <w:hideMark/>
          </w:tcPr>
          <w:p w14:paraId="72C7588F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0.5346</w:t>
            </w:r>
          </w:p>
        </w:tc>
        <w:tc>
          <w:tcPr>
            <w:tcW w:w="851" w:type="dxa"/>
            <w:hideMark/>
          </w:tcPr>
          <w:p w14:paraId="649D5B6F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14:paraId="03C9AA56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14:paraId="158FEA0C" w14:textId="77777777" w:rsidTr="006C08CC">
        <w:tc>
          <w:tcPr>
            <w:tcW w:w="1574" w:type="dxa"/>
            <w:hideMark/>
          </w:tcPr>
          <w:p w14:paraId="7392E55D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657617C5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2417" w:type="dxa"/>
            <w:hideMark/>
          </w:tcPr>
          <w:p w14:paraId="7E7ACB7C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992" w:type="dxa"/>
            <w:hideMark/>
          </w:tcPr>
          <w:p w14:paraId="47DD5BF7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0.3039</w:t>
            </w:r>
          </w:p>
        </w:tc>
        <w:tc>
          <w:tcPr>
            <w:tcW w:w="992" w:type="dxa"/>
            <w:hideMark/>
          </w:tcPr>
          <w:p w14:paraId="121DFFC1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w="992" w:type="dxa"/>
            <w:hideMark/>
          </w:tcPr>
          <w:p w14:paraId="23E94D9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0.5697</w:t>
            </w:r>
          </w:p>
        </w:tc>
        <w:tc>
          <w:tcPr>
            <w:tcW w:w="851" w:type="dxa"/>
            <w:hideMark/>
          </w:tcPr>
          <w:p w14:paraId="4852F984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0.0296</w:t>
            </w:r>
          </w:p>
        </w:tc>
        <w:tc>
          <w:tcPr>
            <w:tcW w:w="989" w:type="dxa"/>
            <w:hideMark/>
          </w:tcPr>
          <w:p w14:paraId="323B1E5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0.5346</w:t>
            </w:r>
          </w:p>
        </w:tc>
        <w:tc>
          <w:tcPr>
            <w:tcW w:w="851" w:type="dxa"/>
            <w:hideMark/>
          </w:tcPr>
          <w:p w14:paraId="21088E5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14:paraId="604A1837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14:paraId="7644D71D" w14:textId="77777777" w:rsidTr="006C08CC">
        <w:tc>
          <w:tcPr>
            <w:tcW w:w="1574" w:type="dxa"/>
            <w:hideMark/>
          </w:tcPr>
          <w:p w14:paraId="4D128FB2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5C1F887D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exploration </w:t>
            </w:r>
          </w:p>
        </w:tc>
        <w:tc>
          <w:tcPr>
            <w:tcW w:w="2417" w:type="dxa"/>
            <w:hideMark/>
          </w:tcPr>
          <w:p w14:paraId="40C401AC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contextHigh risk:exploration </w:t>
            </w:r>
          </w:p>
        </w:tc>
        <w:tc>
          <w:tcPr>
            <w:tcW w:w="992" w:type="dxa"/>
            <w:hideMark/>
          </w:tcPr>
          <w:p w14:paraId="3A80EA4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-1.1133</w:t>
            </w:r>
          </w:p>
        </w:tc>
        <w:tc>
          <w:tcPr>
            <w:tcW w:w="992" w:type="dxa"/>
            <w:hideMark/>
          </w:tcPr>
          <w:p w14:paraId="7EA90BA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-1.4827</w:t>
            </w:r>
          </w:p>
        </w:tc>
        <w:tc>
          <w:tcPr>
            <w:tcW w:w="992" w:type="dxa"/>
            <w:hideMark/>
          </w:tcPr>
          <w:p w14:paraId="3631A9D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-0.7451</w:t>
            </w:r>
          </w:p>
        </w:tc>
        <w:tc>
          <w:tcPr>
            <w:tcW w:w="851" w:type="dxa"/>
            <w:hideMark/>
          </w:tcPr>
          <w:p w14:paraId="2A4C72CC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0.0001</w:t>
            </w:r>
          </w:p>
        </w:tc>
        <w:tc>
          <w:tcPr>
            <w:tcW w:w="989" w:type="dxa"/>
            <w:hideMark/>
          </w:tcPr>
          <w:p w14:paraId="51DCB49B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0.5346</w:t>
            </w:r>
          </w:p>
        </w:tc>
        <w:tc>
          <w:tcPr>
            <w:tcW w:w="851" w:type="dxa"/>
            <w:hideMark/>
          </w:tcPr>
          <w:p w14:paraId="1B09768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14:paraId="5513DE52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14:paraId="14BD637C" w14:textId="77777777" w:rsidTr="006C08CC">
        <w:tc>
          <w:tcPr>
            <w:tcW w:w="1574" w:type="dxa"/>
            <w:hideMark/>
          </w:tcPr>
          <w:p w14:paraId="49FD5FE2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foraging effiency </w:t>
            </w:r>
          </w:p>
        </w:tc>
        <w:tc>
          <w:tcPr>
            <w:tcW w:w="1438" w:type="dxa"/>
            <w:hideMark/>
          </w:tcPr>
          <w:p w14:paraId="18542DC2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2417" w:type="dxa"/>
            <w:hideMark/>
          </w:tcPr>
          <w:p w14:paraId="706C17FB" w14:textId="77777777"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risk_avoidance </w:t>
            </w:r>
          </w:p>
        </w:tc>
        <w:tc>
          <w:tcPr>
            <w:tcW w:w="992" w:type="dxa"/>
            <w:hideMark/>
          </w:tcPr>
          <w:p w14:paraId="7DE0F456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-0.0648</w:t>
            </w:r>
          </w:p>
        </w:tc>
        <w:tc>
          <w:tcPr>
            <w:tcW w:w="992" w:type="dxa"/>
            <w:hideMark/>
          </w:tcPr>
          <w:p w14:paraId="3A0A86B2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-0.0924</w:t>
            </w:r>
          </w:p>
        </w:tc>
        <w:tc>
          <w:tcPr>
            <w:tcW w:w="992" w:type="dxa"/>
            <w:hideMark/>
          </w:tcPr>
          <w:p w14:paraId="40DE3374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-0.0377</w:t>
            </w:r>
          </w:p>
        </w:tc>
        <w:tc>
          <w:tcPr>
            <w:tcW w:w="851" w:type="dxa"/>
            <w:hideMark/>
          </w:tcPr>
          <w:p w14:paraId="2768CC59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0.0001</w:t>
            </w:r>
          </w:p>
        </w:tc>
        <w:tc>
          <w:tcPr>
            <w:tcW w:w="989" w:type="dxa"/>
            <w:hideMark/>
          </w:tcPr>
          <w:p w14:paraId="7A7438B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0.5209</w:t>
            </w:r>
          </w:p>
        </w:tc>
        <w:tc>
          <w:tcPr>
            <w:tcW w:w="851" w:type="dxa"/>
            <w:hideMark/>
          </w:tcPr>
          <w:p w14:paraId="57AFA748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11</w:t>
            </w:r>
          </w:p>
        </w:tc>
        <w:tc>
          <w:tcPr>
            <w:tcW w:w="992" w:type="dxa"/>
            <w:hideMark/>
          </w:tcPr>
          <w:p w14:paraId="08B14C00" w14:textId="77777777"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192</w:t>
            </w:r>
          </w:p>
        </w:tc>
      </w:tr>
    </w:tbl>
    <w:p w14:paraId="409E4A76" w14:textId="77777777" w:rsidR="00F44A33" w:rsidRDefault="00F44A33" w:rsidP="00754615">
      <w:pPr>
        <w:spacing w:after="0" w:line="240" w:lineRule="auto"/>
        <w:rPr>
          <w:rFonts w:cstheme="minorHAnsi"/>
          <w:b/>
          <w:lang w:val="en-GB"/>
        </w:rPr>
        <w:sectPr w:rsidR="00F44A33" w:rsidSect="00F44A33">
          <w:headerReference w:type="default" r:id="rId10"/>
          <w:footerReference w:type="default" r:id="rId11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39B7679" w14:textId="77777777" w:rsidR="009060E7" w:rsidRDefault="009060E7" w:rsidP="00754615">
      <w:pPr>
        <w:spacing w:after="0" w:line="240" w:lineRule="auto"/>
        <w:rPr>
          <w:rFonts w:cstheme="minorHAnsi"/>
          <w:b/>
          <w:lang w:val="en-GB"/>
        </w:rPr>
      </w:pPr>
      <w:r w:rsidRPr="00754615">
        <w:rPr>
          <w:rFonts w:cstheme="minorHAnsi"/>
          <w:b/>
          <w:lang w:val="en-GB"/>
        </w:rPr>
        <w:lastRenderedPageBreak/>
        <w:t>Supplementary figures:</w:t>
      </w:r>
    </w:p>
    <w:p w14:paraId="4E1CBF1F" w14:textId="77777777" w:rsidR="00F44A33" w:rsidRPr="00754615" w:rsidRDefault="00F44A33" w:rsidP="00754615">
      <w:pPr>
        <w:spacing w:after="0" w:line="240" w:lineRule="auto"/>
        <w:rPr>
          <w:rFonts w:cstheme="minorHAnsi"/>
          <w:b/>
          <w:lang w:val="en-GB"/>
        </w:rPr>
      </w:pPr>
    </w:p>
    <w:p w14:paraId="3FDCE6D2" w14:textId="77777777" w:rsidR="009060E7" w:rsidRDefault="009060E7" w:rsidP="00754615">
      <w:pPr>
        <w:spacing w:after="0" w:line="240" w:lineRule="auto"/>
        <w:rPr>
          <w:rFonts w:cstheme="minorHAnsi"/>
          <w:noProof/>
          <w:lang w:eastAsia="pl-PL"/>
        </w:rPr>
      </w:pPr>
    </w:p>
    <w:p w14:paraId="188FE8F9" w14:textId="77777777" w:rsidR="00F44A33" w:rsidRPr="00754615" w:rsidRDefault="00F44A33" w:rsidP="00754615">
      <w:pPr>
        <w:spacing w:after="0" w:line="240" w:lineRule="auto"/>
        <w:rPr>
          <w:rFonts w:cstheme="minorHAnsi"/>
          <w:noProof/>
          <w:lang w:eastAsia="pl-PL"/>
        </w:rPr>
      </w:pPr>
    </w:p>
    <w:p w14:paraId="63E95466" w14:textId="77777777" w:rsidR="00F44A33" w:rsidRDefault="009060E7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 wp14:anchorId="02333EC2" wp14:editId="02FB3939">
            <wp:extent cx="6497870" cy="234931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71" cy="23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B2E3" w14:textId="77777777"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14:paraId="04765C2D" w14:textId="77777777"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14:paraId="4BBAD62E" w14:textId="77777777"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14:paraId="59B78684" w14:textId="2D055DC4" w:rsidR="009060E7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  <w:r w:rsidRPr="00754615">
        <w:rPr>
          <w:rFonts w:cstheme="minorHAnsi"/>
          <w:b/>
          <w:noProof/>
          <w:lang w:val="en-GB" w:eastAsia="pl-PL"/>
        </w:rPr>
        <w:t xml:space="preserve">Figure </w:t>
      </w:r>
      <w:r w:rsidR="00CC454E">
        <w:rPr>
          <w:rFonts w:cstheme="minorHAnsi"/>
          <w:b/>
          <w:noProof/>
          <w:lang w:val="en-GB" w:eastAsia="pl-PL"/>
        </w:rPr>
        <w:t>S3</w:t>
      </w:r>
      <w:r w:rsidRPr="00754615">
        <w:rPr>
          <w:rFonts w:cstheme="minorHAnsi"/>
          <w:noProof/>
          <w:lang w:val="en-GB" w:eastAsia="pl-PL"/>
        </w:rPr>
        <w:t xml:space="preserve"> Distribution of foraging efficiency and behavioural parameters in the study population of the long-billed hermits, raw (A) and log-transformed (B) data.</w:t>
      </w:r>
    </w:p>
    <w:p w14:paraId="70B04DB1" w14:textId="77777777"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  <w:sectPr w:rsidR="00F44A33" w:rsidSect="00047DC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36A1740A" w14:textId="77777777"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6AED7D78" w14:textId="77777777"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33F35CA1" w14:textId="77777777" w:rsidR="00F44A33" w:rsidRPr="00754615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1A356608" w14:textId="77777777" w:rsidR="009060E7" w:rsidRPr="00754615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0D97F6B5" w14:textId="77777777"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19E04144" w14:textId="77777777" w:rsidR="00456065" w:rsidRPr="00047DCC" w:rsidRDefault="00456065" w:rsidP="00754615">
      <w:pPr>
        <w:spacing w:after="0" w:line="240" w:lineRule="auto"/>
        <w:rPr>
          <w:rFonts w:cstheme="minorHAnsi"/>
          <w:lang w:val="en-GB"/>
        </w:rPr>
      </w:pPr>
    </w:p>
    <w:p w14:paraId="4B349A6E" w14:textId="77777777"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 wp14:anchorId="7ACF01A5" wp14:editId="727F01C8">
            <wp:extent cx="3666067" cy="2444045"/>
            <wp:effectExtent l="0" t="0" r="0" b="0"/>
            <wp:docPr id="1" name="Obraz 1" descr="C:\Users\KWJ\AppData\Local\Microsoft\Windows\INetCache\Content.MSO\B7E174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J\AppData\Local\Microsoft\Windows\INetCache\Content.MSO\B7E174CA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67" cy="24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47CD" w14:textId="58ED91F6" w:rsidR="00456065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  <w:r w:rsidRPr="00754615">
        <w:rPr>
          <w:rFonts w:cstheme="minorHAnsi"/>
          <w:b/>
          <w:noProof/>
          <w:lang w:val="en-GB" w:eastAsia="pl-PL"/>
        </w:rPr>
        <w:t>Figure S</w:t>
      </w:r>
      <w:r w:rsidR="00CC454E">
        <w:rPr>
          <w:rFonts w:cstheme="minorHAnsi"/>
          <w:b/>
          <w:noProof/>
          <w:lang w:val="en-GB" w:eastAsia="pl-PL"/>
        </w:rPr>
        <w:t>4</w:t>
      </w:r>
      <w:r w:rsidR="00A74FC9">
        <w:rPr>
          <w:rFonts w:cstheme="minorHAnsi"/>
          <w:b/>
          <w:noProof/>
          <w:lang w:val="en-GB" w:eastAsia="pl-PL"/>
        </w:rPr>
        <w:t>.</w:t>
      </w:r>
      <w:r w:rsidRPr="00754615">
        <w:rPr>
          <w:rFonts w:cstheme="minorHAnsi"/>
          <w:b/>
          <w:noProof/>
          <w:lang w:val="en-GB" w:eastAsia="pl-PL"/>
        </w:rPr>
        <w:t xml:space="preserve"> </w:t>
      </w:r>
      <w:r w:rsidRPr="00754615">
        <w:rPr>
          <w:rFonts w:cstheme="minorHAnsi"/>
          <w:noProof/>
          <w:lang w:val="en-GB" w:eastAsia="pl-PL"/>
        </w:rPr>
        <w:t>Correlation coefic</w:t>
      </w:r>
      <w:r w:rsidR="00C43091">
        <w:rPr>
          <w:rFonts w:cstheme="minorHAnsi"/>
          <w:noProof/>
          <w:lang w:val="en-GB" w:eastAsia="pl-PL"/>
        </w:rPr>
        <w:t>i</w:t>
      </w:r>
      <w:r w:rsidRPr="00754615">
        <w:rPr>
          <w:rFonts w:cstheme="minorHAnsi"/>
          <w:noProof/>
          <w:lang w:val="en-GB" w:eastAsia="pl-PL"/>
        </w:rPr>
        <w:t>ents between the three behavioural variables.</w:t>
      </w:r>
    </w:p>
    <w:p w14:paraId="17705526" w14:textId="77777777" w:rsidR="00CF3CD1" w:rsidRDefault="00CF3CD1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14:paraId="4B7F45D5" w14:textId="77777777" w:rsidR="00CF3CD1" w:rsidRDefault="00CF3CD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6CA6CA9A" w14:textId="77777777" w:rsidR="00F44A33" w:rsidRPr="00754615" w:rsidRDefault="00F44A33" w:rsidP="00754615">
      <w:pPr>
        <w:spacing w:after="0" w:line="240" w:lineRule="auto"/>
        <w:rPr>
          <w:rFonts w:cstheme="minorHAnsi"/>
          <w:lang w:val="en-GB"/>
        </w:rPr>
      </w:pPr>
    </w:p>
    <w:p w14:paraId="55B7680F" w14:textId="77777777" w:rsidR="00F44A33" w:rsidRDefault="009060E7" w:rsidP="00F44A3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 wp14:anchorId="0D744F1E" wp14:editId="420BF64F">
            <wp:extent cx="4195233" cy="2796822"/>
            <wp:effectExtent l="0" t="0" r="0" b="3810"/>
            <wp:docPr id="4" name="Obraz 4" descr="C:\Users\KWJ\AppData\Local\Microsoft\Windows\INetCache\Content.MSO\2586E7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WJ\AppData\Local\Microsoft\Windows\INetCache\Content.MSO\2586E734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01" cy="27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F9DD" w14:textId="77777777" w:rsidR="00456065" w:rsidRPr="00754615" w:rsidRDefault="00456065" w:rsidP="00F44A3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Figure S</w:t>
      </w:r>
      <w:r w:rsidR="00CC454E">
        <w:rPr>
          <w:rFonts w:eastAsia="Times New Roman" w:cstheme="minorHAnsi"/>
          <w:b/>
          <w:bCs/>
          <w:lang w:val="en-GB" w:eastAsia="pl-PL"/>
        </w:rPr>
        <w:t>5</w:t>
      </w:r>
      <w:r w:rsidRPr="00754615">
        <w:rPr>
          <w:rFonts w:eastAsia="Times New Roman" w:cstheme="minorHAnsi"/>
          <w:b/>
          <w:bCs/>
          <w:lang w:val="en-GB" w:eastAsia="pl-PL"/>
        </w:rPr>
        <w:t xml:space="preserve"> </w:t>
      </w:r>
      <w:r w:rsidRPr="00F44A33">
        <w:rPr>
          <w:rFonts w:eastAsia="Times New Roman" w:cstheme="minorHAnsi"/>
          <w:bCs/>
          <w:lang w:val="en-GB" w:eastAsia="pl-PL"/>
        </w:rPr>
        <w:t>Comparison of</w:t>
      </w:r>
      <w:r w:rsidRPr="00754615">
        <w:rPr>
          <w:rFonts w:eastAsia="Times New Roman" w:cstheme="minorHAnsi"/>
          <w:b/>
          <w:bCs/>
          <w:lang w:val="en-GB" w:eastAsia="pl-PL"/>
        </w:rPr>
        <w:t xml:space="preserve"> </w:t>
      </w:r>
      <w:r w:rsidRPr="00754615">
        <w:rPr>
          <w:rFonts w:cstheme="minorHAnsi"/>
          <w:lang w:val="en-GB"/>
        </w:rPr>
        <w:t>estimates from single predictor models and the global model.</w:t>
      </w:r>
    </w:p>
    <w:p w14:paraId="7DC17B22" w14:textId="77777777" w:rsidR="00456065" w:rsidRDefault="00456065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14:paraId="029DBE44" w14:textId="77777777" w:rsidR="00CF3CD1" w:rsidRPr="00CF3CD1" w:rsidRDefault="00CF3CD1" w:rsidP="00CF3CD1">
      <w:pPr>
        <w:spacing w:after="0" w:line="240" w:lineRule="auto"/>
        <w:rPr>
          <w:rFonts w:cstheme="minorHAnsi"/>
          <w:b/>
          <w:noProof/>
          <w:lang w:val="en-GB" w:eastAsia="pl-PL"/>
        </w:rPr>
      </w:pPr>
      <w:r>
        <w:rPr>
          <w:rFonts w:cstheme="minorHAnsi"/>
          <w:b/>
          <w:noProof/>
          <w:lang w:val="en-GB" w:eastAsia="pl-PL"/>
        </w:rPr>
        <w:t>L</w:t>
      </w:r>
      <w:r w:rsidRPr="00CF3CD1">
        <w:rPr>
          <w:rFonts w:cstheme="minorHAnsi"/>
          <w:b/>
          <w:noProof/>
          <w:lang w:val="en-GB" w:eastAsia="pl-PL"/>
        </w:rPr>
        <w:t xml:space="preserve">iterature cited: </w:t>
      </w:r>
    </w:p>
    <w:p w14:paraId="7898F45E" w14:textId="77777777" w:rsidR="00CF3CD1" w:rsidRDefault="00CF3CD1" w:rsidP="00CF3CD1">
      <w:pPr>
        <w:spacing w:after="0" w:line="240" w:lineRule="auto"/>
        <w:rPr>
          <w:lang w:val="en-GB"/>
        </w:rPr>
      </w:pPr>
    </w:p>
    <w:p w14:paraId="1EE3A6CD" w14:textId="77777777" w:rsidR="00CF3CD1" w:rsidRDefault="00CF3CD1" w:rsidP="00CF3CD1">
      <w:pPr>
        <w:spacing w:after="0" w:line="240" w:lineRule="auto"/>
        <w:rPr>
          <w:rFonts w:cstheme="minorHAnsi"/>
          <w:noProof/>
          <w:lang w:val="en-GB" w:eastAsia="pl-PL"/>
        </w:rPr>
      </w:pPr>
      <w:r w:rsidRPr="00CF3CD1">
        <w:rPr>
          <w:lang w:val="en-GB"/>
        </w:rPr>
        <w:t xml:space="preserve">Kuznetsova A, Brockhoff PB, Christensen RHB (2017). “lmerTest Package: Tests in Linear Mixed Effects Models.” </w:t>
      </w:r>
      <w:r>
        <w:rPr>
          <w:rStyle w:val="Uwydatnienie"/>
        </w:rPr>
        <w:t>Journal of Statistical Software</w:t>
      </w:r>
      <w:r>
        <w:t xml:space="preserve">, </w:t>
      </w:r>
      <w:r>
        <w:rPr>
          <w:b/>
          <w:bCs/>
        </w:rPr>
        <w:t>82</w:t>
      </w:r>
      <w:r>
        <w:t xml:space="preserve">(13), 1–26. doi: </w:t>
      </w:r>
      <w:hyperlink r:id="rId15" w:history="1">
        <w:r>
          <w:rPr>
            <w:rStyle w:val="Hipercze"/>
          </w:rPr>
          <w:t>10.18637/jss.v082.i13</w:t>
        </w:r>
      </w:hyperlink>
    </w:p>
    <w:p w14:paraId="1E82B934" w14:textId="77777777" w:rsidR="00CF3CD1" w:rsidRPr="00754615" w:rsidRDefault="00CF3CD1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14:paraId="1807B23F" w14:textId="77777777"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p w14:paraId="7A4DD0C2" w14:textId="77777777"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164E9352" w14:textId="77777777"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14:paraId="5F76798B" w14:textId="77777777"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p w14:paraId="5F21B1A5" w14:textId="77777777"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sectPr w:rsidR="00456065" w:rsidRPr="00754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C2CB" w14:textId="77777777" w:rsidR="005F3976" w:rsidRDefault="005F3976" w:rsidP="00F44A33">
      <w:pPr>
        <w:spacing w:after="0" w:line="240" w:lineRule="auto"/>
      </w:pPr>
      <w:r>
        <w:separator/>
      </w:r>
    </w:p>
  </w:endnote>
  <w:endnote w:type="continuationSeparator" w:id="0">
    <w:p w14:paraId="0ED26AA8" w14:textId="77777777" w:rsidR="005F3976" w:rsidRDefault="005F3976" w:rsidP="00F4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041539"/>
      <w:docPartObj>
        <w:docPartGallery w:val="Page Numbers (Bottom of Page)"/>
        <w:docPartUnique/>
      </w:docPartObj>
    </w:sdtPr>
    <w:sdtContent>
      <w:p w14:paraId="66AF21F7" w14:textId="77777777" w:rsidR="00F44A33" w:rsidRDefault="00F44A3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54E">
          <w:rPr>
            <w:noProof/>
          </w:rPr>
          <w:t>7</w:t>
        </w:r>
        <w:r>
          <w:fldChar w:fldCharType="end"/>
        </w:r>
      </w:p>
    </w:sdtContent>
  </w:sdt>
  <w:p w14:paraId="67B70175" w14:textId="77777777" w:rsidR="00F44A33" w:rsidRDefault="00F44A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852B" w14:textId="77777777" w:rsidR="005F3976" w:rsidRDefault="005F3976" w:rsidP="00F44A33">
      <w:pPr>
        <w:spacing w:after="0" w:line="240" w:lineRule="auto"/>
      </w:pPr>
      <w:r>
        <w:separator/>
      </w:r>
    </w:p>
  </w:footnote>
  <w:footnote w:type="continuationSeparator" w:id="0">
    <w:p w14:paraId="5C567B48" w14:textId="77777777" w:rsidR="005F3976" w:rsidRDefault="005F3976" w:rsidP="00F4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41E2" w14:textId="08437083" w:rsidR="00047DCC" w:rsidRPr="00047DCC" w:rsidRDefault="006C08CC" w:rsidP="00DC73F5">
    <w:pPr>
      <w:spacing w:after="0" w:line="240" w:lineRule="auto"/>
      <w:rPr>
        <w:rFonts w:cstheme="minorHAnsi"/>
        <w:b/>
        <w:i/>
        <w:lang w:val="en-GB"/>
      </w:rPr>
    </w:pPr>
    <w:r w:rsidRPr="00047DCC">
      <w:rPr>
        <w:rFonts w:cstheme="minorHAnsi"/>
        <w:lang w:val="en-GB"/>
      </w:rPr>
      <w:t xml:space="preserve">Foraging, fear and behavioural </w:t>
    </w:r>
    <w:r w:rsidR="008B4342">
      <w:rPr>
        <w:rFonts w:cstheme="minorHAnsi"/>
        <w:lang w:val="en-GB"/>
      </w:rPr>
      <w:t xml:space="preserve">variation </w:t>
    </w:r>
    <w:r>
      <w:rPr>
        <w:rFonts w:cstheme="minorHAnsi"/>
        <w:lang w:val="en-GB"/>
      </w:rPr>
      <w:t xml:space="preserve">in </w:t>
    </w:r>
    <w:r w:rsidRPr="00047DCC">
      <w:rPr>
        <w:rFonts w:cstheme="minorHAnsi"/>
        <w:lang w:val="en-GB"/>
      </w:rPr>
      <w:t>hummingbirds</w:t>
    </w:r>
    <w:r>
      <w:rPr>
        <w:rFonts w:cstheme="minorHAnsi"/>
        <w:lang w:val="en-GB"/>
      </w:rPr>
      <w:t xml:space="preserve">, </w:t>
    </w:r>
    <w:r w:rsidR="00631CA9">
      <w:rPr>
        <w:rFonts w:cstheme="minorHAnsi"/>
        <w:i/>
        <w:lang w:val="en-GB"/>
      </w:rPr>
      <w:t>Author &amp; Author</w:t>
    </w:r>
  </w:p>
  <w:p w14:paraId="2DDF62CE" w14:textId="77777777" w:rsidR="00047DCC" w:rsidRPr="00047DCC" w:rsidRDefault="00047DCC">
    <w:pPr>
      <w:pStyle w:val="Nagwek"/>
      <w:rPr>
        <w:lang w:val="en-GB"/>
      </w:rPr>
    </w:pPr>
  </w:p>
  <w:p w14:paraId="6DDE3B4B" w14:textId="77777777" w:rsidR="00047DCC" w:rsidRPr="00047DCC" w:rsidRDefault="00047DCC">
    <w:pPr>
      <w:pStyle w:val="Nagwek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6F9E"/>
    <w:multiLevelType w:val="multilevel"/>
    <w:tmpl w:val="A0E6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24CB5"/>
    <w:multiLevelType w:val="multilevel"/>
    <w:tmpl w:val="FCA00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714C2"/>
    <w:multiLevelType w:val="multilevel"/>
    <w:tmpl w:val="32B82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A5964"/>
    <w:multiLevelType w:val="multilevel"/>
    <w:tmpl w:val="3AC27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E2209"/>
    <w:multiLevelType w:val="multilevel"/>
    <w:tmpl w:val="DF96F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85EA0"/>
    <w:multiLevelType w:val="multilevel"/>
    <w:tmpl w:val="BE0C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935FF"/>
    <w:multiLevelType w:val="multilevel"/>
    <w:tmpl w:val="6BB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3122D"/>
    <w:multiLevelType w:val="multilevel"/>
    <w:tmpl w:val="FD1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095972">
    <w:abstractNumId w:val="0"/>
  </w:num>
  <w:num w:numId="2" w16cid:durableId="121382830">
    <w:abstractNumId w:val="1"/>
  </w:num>
  <w:num w:numId="3" w16cid:durableId="1213157359">
    <w:abstractNumId w:val="2"/>
  </w:num>
  <w:num w:numId="4" w16cid:durableId="2005744707">
    <w:abstractNumId w:val="5"/>
  </w:num>
  <w:num w:numId="5" w16cid:durableId="1956132251">
    <w:abstractNumId w:val="7"/>
  </w:num>
  <w:num w:numId="6" w16cid:durableId="1177423259">
    <w:abstractNumId w:val="6"/>
  </w:num>
  <w:num w:numId="7" w16cid:durableId="1687824970">
    <w:abstractNumId w:val="3"/>
  </w:num>
  <w:num w:numId="8" w16cid:durableId="1969506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19"/>
    <w:rsid w:val="00047DCC"/>
    <w:rsid w:val="000926E7"/>
    <w:rsid w:val="000A399B"/>
    <w:rsid w:val="00140573"/>
    <w:rsid w:val="00147B77"/>
    <w:rsid w:val="0025678F"/>
    <w:rsid w:val="00257E4D"/>
    <w:rsid w:val="00264C9C"/>
    <w:rsid w:val="002B5571"/>
    <w:rsid w:val="002D7D4E"/>
    <w:rsid w:val="002E2DEA"/>
    <w:rsid w:val="00456065"/>
    <w:rsid w:val="004B7856"/>
    <w:rsid w:val="004E1AAE"/>
    <w:rsid w:val="00521B62"/>
    <w:rsid w:val="005F3976"/>
    <w:rsid w:val="0060749D"/>
    <w:rsid w:val="00631CA9"/>
    <w:rsid w:val="006C08CC"/>
    <w:rsid w:val="006C6D25"/>
    <w:rsid w:val="00724D42"/>
    <w:rsid w:val="00754615"/>
    <w:rsid w:val="008644C1"/>
    <w:rsid w:val="008B4342"/>
    <w:rsid w:val="009060E7"/>
    <w:rsid w:val="00957319"/>
    <w:rsid w:val="00A74FC9"/>
    <w:rsid w:val="00C34410"/>
    <w:rsid w:val="00C43091"/>
    <w:rsid w:val="00C61969"/>
    <w:rsid w:val="00CC454E"/>
    <w:rsid w:val="00CD3A9E"/>
    <w:rsid w:val="00CE4A2C"/>
    <w:rsid w:val="00CF3CD1"/>
    <w:rsid w:val="00D70D69"/>
    <w:rsid w:val="00DC73F5"/>
    <w:rsid w:val="00E738BD"/>
    <w:rsid w:val="00E82FFC"/>
    <w:rsid w:val="00F44A33"/>
    <w:rsid w:val="00F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80ED4D"/>
  <w15:chartTrackingRefBased/>
  <w15:docId w15:val="{6C55D0BE-7EB7-4489-B5FE-16326BDD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73F5"/>
  </w:style>
  <w:style w:type="paragraph" w:styleId="Nagwek2">
    <w:name w:val="heading 2"/>
    <w:basedOn w:val="Normalny"/>
    <w:link w:val="Nagwek2Znak"/>
    <w:uiPriority w:val="9"/>
    <w:qFormat/>
    <w:rsid w:val="00456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456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456065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5606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06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5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56065"/>
    <w:rPr>
      <w:b/>
      <w:bCs/>
    </w:rPr>
  </w:style>
  <w:style w:type="character" w:customStyle="1" w:styleId="mi">
    <w:name w:val="mi"/>
    <w:basedOn w:val="Domylnaczcionkaakapitu"/>
    <w:rsid w:val="00456065"/>
  </w:style>
  <w:style w:type="character" w:customStyle="1" w:styleId="mtext">
    <w:name w:val="mtext"/>
    <w:basedOn w:val="Domylnaczcionkaakapitu"/>
    <w:rsid w:val="00456065"/>
  </w:style>
  <w:style w:type="character" w:customStyle="1" w:styleId="mo">
    <w:name w:val="mo"/>
    <w:basedOn w:val="Domylnaczcionkaakapitu"/>
    <w:rsid w:val="00456065"/>
  </w:style>
  <w:style w:type="character" w:customStyle="1" w:styleId="mn">
    <w:name w:val="mn"/>
    <w:basedOn w:val="Domylnaczcionkaakapitu"/>
    <w:rsid w:val="00456065"/>
  </w:style>
  <w:style w:type="paragraph" w:styleId="Akapitzlist">
    <w:name w:val="List Paragraph"/>
    <w:basedOn w:val="Normalny"/>
    <w:uiPriority w:val="34"/>
    <w:qFormat/>
    <w:rsid w:val="009060E7"/>
    <w:pPr>
      <w:ind w:left="720"/>
      <w:contextualSpacing/>
    </w:pPr>
  </w:style>
  <w:style w:type="table" w:styleId="Tabela-Siatka">
    <w:name w:val="Table Grid"/>
    <w:basedOn w:val="Standardowy"/>
    <w:uiPriority w:val="39"/>
    <w:rsid w:val="00F4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4A33"/>
  </w:style>
  <w:style w:type="paragraph" w:styleId="Stopka">
    <w:name w:val="footer"/>
    <w:basedOn w:val="Normalny"/>
    <w:link w:val="StopkaZnak"/>
    <w:uiPriority w:val="99"/>
    <w:unhideWhenUsed/>
    <w:rsid w:val="00F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4A33"/>
  </w:style>
  <w:style w:type="character" w:styleId="Uwydatnienie">
    <w:name w:val="Emphasis"/>
    <w:basedOn w:val="Domylnaczcionkaakapitu"/>
    <w:uiPriority w:val="20"/>
    <w:qFormat/>
    <w:rsid w:val="00CF3C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8637/jss.v082.i13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79E8E-B2CA-45B2-B6DA-7E98B7F0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960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Katarzyna Wojczulanis-Jakubas</cp:lastModifiedBy>
  <cp:revision>21</cp:revision>
  <dcterms:created xsi:type="dcterms:W3CDTF">2020-05-04T07:59:00Z</dcterms:created>
  <dcterms:modified xsi:type="dcterms:W3CDTF">2022-12-10T10:29:00Z</dcterms:modified>
</cp:coreProperties>
</file>