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7"/>
        <w:rPr>
          <w:sz w:val="21"/>
          <w:szCs w:val="21"/>
        </w:rPr>
      </w:pPr>
      <w:r>
        <w:rPr>
          <w:sz w:val="21"/>
          <w:szCs w:val="21"/>
        </w:rPr>
        <w:t>Supplementary Figures</w:t>
      </w:r>
    </w:p>
    <w:p>
      <w:pPr>
        <w:pStyle w:val="23"/>
        <w:rPr>
          <w:sz w:val="21"/>
          <w:szCs w:val="21"/>
        </w:rPr>
      </w:pPr>
      <w:r>
        <w:rPr>
          <w:sz w:val="21"/>
          <w:szCs w:val="21"/>
        </w:rPr>
        <w:drawing>
          <wp:inline distT="0" distB="0" distL="114300" distR="114300">
            <wp:extent cx="5334000" cy="2963545"/>
            <wp:effectExtent l="0" t="0" r="0" b="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pic:cNvPicPr>
                      <a:picLocks noChangeAspect="1" noChangeArrowheads="1"/>
                    </pic:cNvPicPr>
                  </pic:nvPicPr>
                  <pic:blipFill>
                    <a:blip r:embed="rId5"/>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S3.</w:t>
      </w:r>
      <w:r>
        <w:rPr>
          <w:sz w:val="21"/>
          <w:szCs w:val="21"/>
        </w:rPr>
        <w:t xml:space="preserve"> Number of invariant sites estimated from empirical and simulated data. Rows correspond to historical record configurations (Old gapped, Recent complete, and None), the x-axis indicates the treatment of repeated historical song observations (all occurrences, earliest occurrence only, or none), columns correspond to the five study leks (BR1, TR1, CCE, HC1, and SUR), colors indicate multiple sequence alignment strategies (MAFFT-agnostic, MAFFT-optimal, and PRANK-TN93), and symbols distinguish empirical (triangles) from simulated (circles) data. Error bars indicate 95% credible intervals.</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pic:cNvPicPr>
                      <a:picLocks noChangeAspect="1" noChangeArrowheads="1"/>
                    </pic:cNvPicPr>
                  </pic:nvPicPr>
                  <pic:blipFill>
                    <a:blip r:embed="rId6"/>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S4.</w:t>
      </w:r>
      <w:r>
        <w:rPr>
          <w:sz w:val="21"/>
          <w:szCs w:val="21"/>
        </w:rPr>
        <w:t xml:space="preserve"> Effect sizes comparing empirical and simulated estimates of number of invariant sites. Rows correspond to historical record configurations (Old gapped, Recent complete, and None), the x-axis indicates the treatment of repeated historical song observations (all occurrences, earliest occurrence only, or none), columns correspond to the five study leks (BR1, TR1, CCE, HC1, and SUR), and colors indicate multiple sequence alignment strategies (MAFFT-agnostic, MAFFT-optimal, and PRANK-TN93). The dashed horizontal line indicates an effect size of 2.</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7"/>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S5.</w:t>
      </w:r>
      <w:r>
        <w:rPr>
          <w:sz w:val="21"/>
          <w:szCs w:val="21"/>
        </w:rPr>
        <w:t xml:space="preserve"> Two-tailed posterior predictive p-values comparing empirical and simulated estimates of number of invariant sites. Rows correspond to historical record configurations (Old gapped, Recent complete, and None), the x-axis indicates the treatment of repeated historical song observations (all occurrences, earliest occurrence only, or none), columns correspond to the five study leks (BR1, TR1, CCE, HC1, and SUR), colors indicate multiple sequence alignment strategies (MAFFT-agnostic, MAFFT-optimal, and PRANK-TN93), and point size indicates whether posterior predictive p-values are significant (&lt; 0.05). The dashed horizontal line indicates p = 0.05.</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8"/>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S6.</w:t>
      </w:r>
      <w:r>
        <w:rPr>
          <w:sz w:val="21"/>
          <w:szCs w:val="21"/>
        </w:rPr>
        <w:t xml:space="preserve"> Number of segregating sites estimated from empirical and simulated data. Rows correspond to historical record configurations (Old gapped, Recent complete, and None), the x-axis indicates the treatment of repeated historical song observations (all occurrences, earliest occurrence only, or none), columns correspond to the five study leks (BR1, TR1, CCE, HC1, and SUR), colors indicate multiple sequence alignment strategies (MAFFT-agnostic, MAFFT-optimal, and PRANK-TN93), and symbols distinguish empirical (triangles) from simulated (circles) data. Error bars indicate 95% credible intervals.</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pic:cNvPicPr>
                      <a:picLocks noChangeAspect="1" noChangeArrowheads="1"/>
                    </pic:cNvPicPr>
                  </pic:nvPicPr>
                  <pic:blipFill>
                    <a:blip r:embed="rId9"/>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S7.</w:t>
      </w:r>
      <w:r>
        <w:rPr>
          <w:sz w:val="21"/>
          <w:szCs w:val="21"/>
        </w:rPr>
        <w:t xml:space="preserve"> Effect sizes comparing empirical and simulated estimates of segregating sites. Rows correspond to historical record configurations (Old gapped, Recent complete, and None), the x-axis indicates the treatment of repeated historical song observations (all occurrences, earliest occurrence only, or none), columns correspond to the five study leks (BR1, TR1, CCE, HC1, and SUR), and colors indicate multiple sequence alignment strategies (MAFFT-agnostic, MAFFT-optimal, and PRANK-TN93). The dashed horizontal line indicates an effect size of 2.</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pic:cNvPicPr>
                      <a:picLocks noChangeAspect="1" noChangeArrowheads="1"/>
                    </pic:cNvPicPr>
                  </pic:nvPicPr>
                  <pic:blipFill>
                    <a:blip r:embed="rId10"/>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S8.</w:t>
      </w:r>
      <w:r>
        <w:rPr>
          <w:sz w:val="21"/>
          <w:szCs w:val="21"/>
        </w:rPr>
        <w:t xml:space="preserve"> Two-tailed posterior predictive p-values comparing empirical and simulated estimates of segregating sites. Rows correspond to historical record configurations (Old gapped, Recent complete, and None), the x-axis indicates the treatment of repeated historical song observations (all occurrences, earliest occurrence only, or none), columns correspond to the five study leks (BR1, TR1, CCE, HC1, and SUR), colors indicate multiple sequence alignment strategies (MAFFT-agnostic, MAFFT-optimal, and PRANK-TN93), and point size indicates whether posterior predictive p-values are significant (&lt; 0.05). The dashed horizontal line indicates p = 0.05.</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pic:cNvPicPr>
                      <a:picLocks noChangeAspect="1" noChangeArrowheads="1"/>
                    </pic:cNvPicPr>
                  </pic:nvPicPr>
                  <pic:blipFill>
                    <a:blip r:embed="rId11"/>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S9.</w:t>
      </w:r>
      <w:r>
        <w:rPr>
          <w:sz w:val="21"/>
          <w:szCs w:val="21"/>
        </w:rPr>
        <w:t xml:space="preserve"> Maximum invariant block length estimated from empirical and simulated data. Rows correspond to historical record configurations (Old gapped, Recent complete, and None), the x-axis indicates the treatment of repeated historical song observations (all occurrences, earliest occurrence only, or none), columns correspond to the five study leks (BR1, TR1, CCE, HC1, and SUR), colors indicate multiple sequence alignment strategies (MAFFT-agnostic, MAFFT-optimal, and PRANK-TN93), and symbols distinguish empirical (triangles) from simulated (circles) data. Error bars indicate 95% credible intervals.</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pic:cNvPicPr>
                      <a:picLocks noChangeAspect="1" noChangeArrowheads="1"/>
                    </pic:cNvPicPr>
                  </pic:nvPicPr>
                  <pic:blipFill>
                    <a:blip r:embed="rId12"/>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S10.</w:t>
      </w:r>
      <w:r>
        <w:rPr>
          <w:sz w:val="21"/>
          <w:szCs w:val="21"/>
        </w:rPr>
        <w:t xml:space="preserve"> Effect sizes comparing empirical and simulated estimates of maximum invariant block length. Rows correspond to historical record configurations (Old gapped, Recent complete, and None), the x-axis indicates the treatment of repeated historical song observations (all occurrences, earliest occurrence only, or none), columns correspond to the five study leks (BR1, TR1, CCE, HC1, and SUR), and colors indicate multiple sequence alignment strategies (MAFFT-agnostic, MAFFT-optimal, and PRANK-TN93). The dashed horizontal line indicates an effect size of 2.</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4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pic:cNvPicPr>
                      <a:picLocks noChangeAspect="1" noChangeArrowheads="1"/>
                    </pic:cNvPicPr>
                  </pic:nvPicPr>
                  <pic:blipFill>
                    <a:blip r:embed="rId13"/>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S11.</w:t>
      </w:r>
      <w:r>
        <w:rPr>
          <w:sz w:val="21"/>
          <w:szCs w:val="21"/>
        </w:rPr>
        <w:t xml:space="preserve"> Two-tailed posterior predictive p-values comparing empirical and simulated estimates of maximum invariant block length. Rows correspond to historical record configurations (Old gapped, Recent complete, and None), the x-axis indicates the treatment of repeated historical song observations (all occurrences, earliest occurrence only, or none), columns correspond to the five study leks (BR1, TR1, CCE, HC1, and SUR), colors indicate multiple sequence alignment strategies (MAFFT-agnostic, MAFFT-optimal, and PRANK-TN93), and point size indicates whether posterior predictive p-values are significant (&lt; 0.05). The dashed horizontal line indicates p = 0.05.</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4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pic:cNvPicPr>
                      <a:picLocks noChangeAspect="1" noChangeArrowheads="1"/>
                    </pic:cNvPicPr>
                  </pic:nvPicPr>
                  <pic:blipFill>
                    <a:blip r:embed="rId14"/>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S12.</w:t>
      </w:r>
      <w:r>
        <w:rPr>
          <w:sz w:val="21"/>
          <w:szCs w:val="21"/>
        </w:rPr>
        <w:t xml:space="preserve"> Maximum variable block length estimated from empirical and simulated data. Rows correspond to historical record configurations (Old gapped, Recent complete, and None), the x-axis indicates the treatment of repeated historical song observations (all occurrences, earliest occurrence only, or none), columns correspond to the five study leks (BR1, TR1, CCE, HC1, and SUR), colors indicate multiple sequence alignment strategies (MAFFT-agnostic, MAFFT-optimal, and PRANK-TN93), and symbols distinguish empirical (triangles) from simulated (circles) data. Error bars indicate 95% credible intervals.</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5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pic:cNvPicPr>
                      <a:picLocks noChangeAspect="1" noChangeArrowheads="1"/>
                    </pic:cNvPicPr>
                  </pic:nvPicPr>
                  <pic:blipFill>
                    <a:blip r:embed="rId15"/>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S13.</w:t>
      </w:r>
      <w:r>
        <w:rPr>
          <w:sz w:val="21"/>
          <w:szCs w:val="21"/>
        </w:rPr>
        <w:t xml:space="preserve"> Effect sizes comparing empirical and simulated estimates of maximum variable block length. Rows correspond to historical record configurations (Old gapped, Recent complete, and None), the x-axis indicates the treatment of repeated historical song observations (all occurrences, earliest occurrence only, or none), columns correspond to the five study leks (BR1, TR1, CCE, HC1, and SUR), and colors indicate multiple sequence alignment strategies (MAFFT-agnostic, MAFFT-optimal, and PRANK-TN93). The dashed horizontal line indicates an effect size of 2.</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5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pic:cNvPicPr>
                      <a:picLocks noChangeAspect="1" noChangeArrowheads="1"/>
                    </pic:cNvPicPr>
                  </pic:nvPicPr>
                  <pic:blipFill>
                    <a:blip r:embed="rId16"/>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S14.</w:t>
      </w:r>
      <w:r>
        <w:rPr>
          <w:sz w:val="21"/>
          <w:szCs w:val="21"/>
        </w:rPr>
        <w:t xml:space="preserve"> Two-tailed posterior predictive p-values comparing empirical and simulated estimates of maximum variable block length. Rows correspond to historical record configurations (Old gapped, Recent complete, and None), the x-axis indicates the treatment of repeated historical song observations (all occurrences, earliest occurrence only, or none), columns correspond to the five study leks (BR1, TR1, CCE, HC1, and SUR), colors indicate multiple sequence alignment strategies (MAFFT-agnostic, MAFFT-optimal, and PRANK-TN93), and point size indicates whether posterior predictive p-values are significant (&lt; 0.05). The dashed horizontal line indicates p = 0.05.</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5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pic:cNvPicPr>
                      <a:picLocks noChangeAspect="1" noChangeArrowheads="1"/>
                    </pic:cNvPicPr>
                  </pic:nvPicPr>
                  <pic:blipFill>
                    <a:blip r:embed="rId17"/>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S15.</w:t>
      </w:r>
      <w:r>
        <w:rPr>
          <w:sz w:val="21"/>
          <w:szCs w:val="21"/>
        </w:rPr>
        <w:t xml:space="preserve"> Number of invariant blocks estimated from empirical and simulated data. Rows correspond to historical record configurations (Old gapped, Recent complete, and None), the x-axis indicates the treatment of repeated historical song observations (all occurrences, earliest occurrence only, or none), columns correspond to the five study leks (BR1, TR1, CCE, HC1, and SUR), colors indicate multiple sequence alignment strategies (MAFFT-agnostic, MAFFT-optimal, and PRANK-TN93), and symbols distinguish empirical (triangles) from simulated (circles) data. Error bars indicate 95% credible intervals.</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6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pic:cNvPicPr>
                      <a:picLocks noChangeAspect="1" noChangeArrowheads="1"/>
                    </pic:cNvPicPr>
                  </pic:nvPicPr>
                  <pic:blipFill>
                    <a:blip r:embed="rId18"/>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S16.</w:t>
      </w:r>
      <w:r>
        <w:rPr>
          <w:sz w:val="21"/>
          <w:szCs w:val="21"/>
        </w:rPr>
        <w:t xml:space="preserve"> Effect sizes comparing empirical and simulated estimates of number of invariant blocks. Rows correspond to historical record configurations (Old gapped, Recent complete, and None), the x-axis indicates the treatment of repeated historical song observations (all occurrences, earliest occurrence only, or none), columns correspond to the five study leks (BR1, TR1, CCE, HC1, and SUR), and colors indicate multiple sequence alignment strategies (MAFFT-agnostic, MAFFT-optimal, and PRANK-TN93). The dashed horizontal line indicates an effect size of 2.</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6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pic:cNvPicPr>
                      <a:picLocks noChangeAspect="1" noChangeArrowheads="1"/>
                    </pic:cNvPicPr>
                  </pic:nvPicPr>
                  <pic:blipFill>
                    <a:blip r:embed="rId19"/>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S17.</w:t>
      </w:r>
      <w:r>
        <w:rPr>
          <w:sz w:val="21"/>
          <w:szCs w:val="21"/>
        </w:rPr>
        <w:t xml:space="preserve"> Two-tailed posterior predictive p-values comparing empirical and simulated estimates of number of invariant blocks. Rows correspond to historical record configurations (Old gapped, Recent complete, and None), the x-axis indicates the treatment of repeated historical song observations (all occurrences, earliest occurrence only, or none), columns correspond to the five study leks (BR1, TR1, CCE, HC1, and SUR), colors indicate multiple sequence alignment strategies (MAFFT-agnostic, MAFFT-optimal, and PRANK-TN93), and point size indicates whether posterior predictive p-values are significant (&lt; 0.05). The dashed horizontal line indicates p = 0.05.</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6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pic:cNvPicPr>
                      <a:picLocks noChangeAspect="1" noChangeArrowheads="1"/>
                    </pic:cNvPicPr>
                  </pic:nvPicPr>
                  <pic:blipFill>
                    <a:blip r:embed="rId20"/>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S18.</w:t>
      </w:r>
      <w:r>
        <w:rPr>
          <w:sz w:val="21"/>
          <w:szCs w:val="21"/>
        </w:rPr>
        <w:t xml:space="preserve"> Maximum pairwise difference estimated from empirical and simulated data. Rows correspond to historical record configurations (Old gapped, Recent complete, and None), the x-axis indicates the treatment of repeated historical song observations (all occurrences, earliest occurrence only, or none), columns correspond to the five study leks (BR1, TR1, CCE, HC1, and SUR), colors indicate multiple sequence alignment strategies (MAFFT-agnostic, MAFFT-optimal, and PRANK-TN93), and symbols distinguish empirical (triangles) from simulated (circles) data. Error bars indicate 95% credible intervals.</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6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pic:cNvPicPr>
                      <a:picLocks noChangeAspect="1" noChangeArrowheads="1"/>
                    </pic:cNvPicPr>
                  </pic:nvPicPr>
                  <pic:blipFill>
                    <a:blip r:embed="rId21"/>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S19.</w:t>
      </w:r>
      <w:r>
        <w:rPr>
          <w:sz w:val="21"/>
          <w:szCs w:val="21"/>
        </w:rPr>
        <w:t xml:space="preserve"> Effect sizes comparing empirical and simulated estimates of maximum pairwise difference. Rows correspond to historical record configurations (Old gapped, Recent complete, and None), the x-axis indicates the treatment of repeated historical song observations (all occurrences, earliest occurrence only, or none), columns correspond to the five study leks (BR1, TR1, CCE, HC1, and SUR), and colors indicate multiple sequence alignment strategies (MAFFT-agnostic, MAFFT-optimal, and PRANK-TN93). The dashed horizontal line indicates an effect size of 2.</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7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pic:cNvPicPr>
                      <a:picLocks noChangeAspect="1" noChangeArrowheads="1"/>
                    </pic:cNvPicPr>
                  </pic:nvPicPr>
                  <pic:blipFill>
                    <a:blip r:embed="rId22"/>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S20.</w:t>
      </w:r>
      <w:r>
        <w:rPr>
          <w:sz w:val="21"/>
          <w:szCs w:val="21"/>
        </w:rPr>
        <w:t xml:space="preserve"> Two-tailed posterior predictive p-values comparing empirical and simulated estimates of maximum pairwise difference. Rows correspond to historical record configurations (Old gapped, Recent complete, and None), the x-axis indicates the treatment of repeated historical song observations (all occurrences, earliest occurrence only, or none), columns correspond to the five study leks (BR1, TR1, CCE, HC1, and SUR), colors indicate multiple sequence alignment strategies (MAFFT-agnostic, MAFFT-optimal, and PRANK-TN93), and point size indicates whether posterior predictive p-values are significant (&lt; 0.05). The dashed horizontal line indicates p = 0.05.</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7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pic:cNvPicPr>
                      <a:picLocks noChangeAspect="1" noChangeArrowheads="1"/>
                    </pic:cNvPicPr>
                  </pic:nvPicPr>
                  <pic:blipFill>
                    <a:blip r:embed="rId23"/>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S21.</w:t>
      </w:r>
      <w:r>
        <w:rPr>
          <w:sz w:val="21"/>
          <w:szCs w:val="21"/>
        </w:rPr>
        <w:t xml:space="preserve"> Minimum pairwise difference estimated from empirical and simulated data. Rows correspond to historical record configurations (Old gapped, Recent complete, and None), the x-axis indicates the treatment of repeated historical song observations (all occurrences, earliest occurrence only, or none), columns correspond to the five study leks (BR1, TR1, CCE, HC1, and SUR), colors indicate multiple sequence alignment strategies (MAFFT-agnostic, MAFFT-optimal, and PRANK-TN93), and symbols distinguish empirical (triangles) from simulated (circles) data. Error bars indicate 95% credible intervals.</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7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pic:cNvPicPr>
                      <a:picLocks noChangeAspect="1" noChangeArrowheads="1"/>
                    </pic:cNvPicPr>
                  </pic:nvPicPr>
                  <pic:blipFill>
                    <a:blip r:embed="rId24"/>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S22.</w:t>
      </w:r>
      <w:r>
        <w:rPr>
          <w:sz w:val="21"/>
          <w:szCs w:val="21"/>
        </w:rPr>
        <w:t xml:space="preserve"> Effect sizes comparing empirical and simulated estimates of minimum pairwise difference. Rows correspond to historical record configurations (Old gapped, Recent complete, and None), the x-axis indicates the treatment of repeated historical song observations (all occurrences, earliest occurrence only, or none), columns correspond to the five study leks (BR1, TR1, CCE, HC1, and SUR), and colors indicate multiple sequence alignment strategies (MAFFT-agnostic, MAFFT-optimal, and PRANK-TN93). The dashed horizontal line indicates an effect size of 2.</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8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pic:cNvPicPr>
                      <a:picLocks noChangeAspect="1" noChangeArrowheads="1"/>
                    </pic:cNvPicPr>
                  </pic:nvPicPr>
                  <pic:blipFill>
                    <a:blip r:embed="rId25"/>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S23.</w:t>
      </w:r>
      <w:r>
        <w:rPr>
          <w:sz w:val="21"/>
          <w:szCs w:val="21"/>
        </w:rPr>
        <w:t xml:space="preserve"> Two-tailed posterior predictive p-values comparing empirical and simulated estimates of minimum pairwise difference. Rows correspond to historical record configurations (Old gapped, Recent complete, and None), the x-axis indicates the treatment of repeated historical song observations (all occurrences, earliest occurrence only, or none), columns correspond to the five study leks (BR1, TR1, CCE, HC1, and SUR), colors indicate multiple sequence alignment strategies (MAFFT-agnostic, MAFFT-optimal, and PRANK-TN93), and point size indicates whether posterior predictive p-values are significant (&lt; 0.05). The dashed horizontal line indicates p = 0.05.</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8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pic:cNvPicPr>
                      <a:picLocks noChangeAspect="1" noChangeArrowheads="1"/>
                    </pic:cNvPicPr>
                  </pic:nvPicPr>
                  <pic:blipFill>
                    <a:blip r:embed="rId26"/>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S24.</w:t>
      </w:r>
      <w:r>
        <w:rPr>
          <w:sz w:val="21"/>
          <w:szCs w:val="21"/>
        </w:rPr>
        <w:t xml:space="preserve"> Theta estimated from empirical and simulated data. Rows correspond to historical record configurations (Old gapped, Recent complete, and None), the x-axis indicates the treatment of repeated historical song observations (all occurrences, earliest occurrence only, or none), columns correspond to the five study leks (BR1, TR1, CCE, HC1, and SUR), colors indicate multiple sequence alignment strategies (MAFFT-agnostic, MAFFT-optimal, and PRANK-TN93), and symbols distinguish empirical (triangles) from simulated (circles) data. Error bars indicate 95% credible intervals.</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8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pic:cNvPicPr>
                      <a:picLocks noChangeAspect="1" noChangeArrowheads="1"/>
                    </pic:cNvPicPr>
                  </pic:nvPicPr>
                  <pic:blipFill>
                    <a:blip r:embed="rId27"/>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S25.</w:t>
      </w:r>
      <w:r>
        <w:rPr>
          <w:sz w:val="21"/>
          <w:szCs w:val="21"/>
        </w:rPr>
        <w:t xml:space="preserve"> Effect sizes comparing empirical and simulated estimates of theta. Rows correspond to historical record configurations (Old gapped, Recent complete, and None), the x-axis indicates the treatment of repeated historical song observations (all occurrences, earliest occurrence only, or none), columns correspond to the five study leks (BR1, TR1, CCE, HC1, and SUR), and colors indicate multiple sequence alignment strategies (MAFFT-agnostic, MAFFT-optimal, and PRANK-TN93). The dashed horizontal line indicates an effect size of 2.</w:t>
      </w:r>
    </w:p>
    <w:p>
      <w:pPr>
        <w:rPr>
          <w:sz w:val="21"/>
          <w:szCs w:val="21"/>
        </w:rPr>
      </w:pPr>
      <w:r>
        <w:rPr>
          <w:sz w:val="21"/>
          <w:szCs w:val="21"/>
        </w:rPr>
        <w:br w:type="page"/>
      </w:r>
    </w:p>
    <w:p>
      <w:pPr>
        <w:pStyle w:val="3"/>
        <w:rPr>
          <w:sz w:val="21"/>
          <w:szCs w:val="21"/>
        </w:rPr>
      </w:pPr>
      <w:bookmarkStart w:id="0" w:name="_GoBack"/>
      <w:r>
        <w:rPr>
          <w:sz w:val="21"/>
          <w:szCs w:val="21"/>
        </w:rPr>
        <w:drawing>
          <wp:inline distT="0" distB="0" distL="114300" distR="114300">
            <wp:extent cx="5334000" cy="2963545"/>
            <wp:effectExtent l="0" t="0" r="0" b="0"/>
            <wp:docPr id="9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pic:cNvPicPr>
                      <a:picLocks noChangeAspect="1" noChangeArrowheads="1"/>
                    </pic:cNvPicPr>
                  </pic:nvPicPr>
                  <pic:blipFill>
                    <a:blip r:embed="rId28"/>
                    <a:stretch>
                      <a:fillRect/>
                    </a:stretch>
                  </pic:blipFill>
                  <pic:spPr>
                    <a:xfrm>
                      <a:off x="0" y="0"/>
                      <a:ext cx="5334000" cy="2963751"/>
                    </a:xfrm>
                    <a:prstGeom prst="rect">
                      <a:avLst/>
                    </a:prstGeom>
                    <a:noFill/>
                    <a:ln w="9525">
                      <a:noFill/>
                    </a:ln>
                  </pic:spPr>
                </pic:pic>
              </a:graphicData>
            </a:graphic>
          </wp:inline>
        </w:drawing>
      </w:r>
      <w:bookmarkEnd w:id="0"/>
    </w:p>
    <w:p>
      <w:pPr>
        <w:pStyle w:val="3"/>
        <w:rPr>
          <w:sz w:val="21"/>
          <w:szCs w:val="21"/>
        </w:rPr>
      </w:pPr>
      <w:r>
        <w:rPr>
          <w:b/>
          <w:bCs/>
          <w:sz w:val="21"/>
          <w:szCs w:val="21"/>
        </w:rPr>
        <w:t>Figure S26.</w:t>
      </w:r>
      <w:r>
        <w:rPr>
          <w:sz w:val="21"/>
          <w:szCs w:val="21"/>
        </w:rPr>
        <w:t xml:space="preserve"> Two-tailed posterior predictive p-values comparing empirical and simulated estimates of theta. Rows correspond to historical record configurations (Old gapped, Recent complete, and None), the x-axis indicates the treatment of repeated historical song observations (all occurrences, earliest occurrence only, or none), columns correspond to the five study leks (BR1, TR1, CCE, HC1, and SUR), colors indicate multiple sequence alignment strategies (MAFFT-agnostic, MAFFT-optimal, and PRANK-TN93), and point size indicates whether posterior predictive p-values are significant (&lt; 0.05). The dashed horizontal line indicates p = 0.05.</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9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pic:cNvPicPr>
                      <a:picLocks noChangeAspect="1" noChangeArrowheads="1"/>
                    </pic:cNvPicPr>
                  </pic:nvPicPr>
                  <pic:blipFill>
                    <a:blip r:embed="rId29"/>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S27.</w:t>
      </w:r>
      <w:r>
        <w:rPr>
          <w:sz w:val="21"/>
          <w:szCs w:val="21"/>
        </w:rPr>
        <w:t xml:space="preserve"> Tajima’s D estimated from empirical and simulated data. Rows correspond to historical record configurations (Old gapped, Recent complete, and None), the x-axis indicates the treatment of repeated historical song observations (all occurrences, earliest occurrence only, or none), columns correspond to the five study leks (BR1, TR1, CCE, HC1, and SUR), colors indicate multiple sequence alignment strategies (MAFFT-agnostic, MAFFT-optimal, and PRANK-TN93), and symbols distinguish empirical (triangles) from simulated (circles) data. Error bars indicate 95% credible intervals.</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9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pic:cNvPicPr>
                      <a:picLocks noChangeAspect="1" noChangeArrowheads="1"/>
                    </pic:cNvPicPr>
                  </pic:nvPicPr>
                  <pic:blipFill>
                    <a:blip r:embed="rId30"/>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S28.</w:t>
      </w:r>
      <w:r>
        <w:rPr>
          <w:sz w:val="21"/>
          <w:szCs w:val="21"/>
        </w:rPr>
        <w:t xml:space="preserve"> Effect sizes comparing empirical and simulated estimates of Tajima’s D. Rows correspond to historical record configurations (Old gapped, Recent complete, and None), the x-axis indicates the treatment of repeated historical song observations (all occurrences, earliest occurrence only, or none), columns correspond to the five study leks (BR1, TR1, CCE, HC1, and SUR), and colors indicate multiple sequence alignment strategies (MAFFT-agnostic, MAFFT-optimal, and PRANK-TN93). The dashed horizontal line indicates an effect size of 2.</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9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pic:cNvPicPr>
                      <a:picLocks noChangeAspect="1" noChangeArrowheads="1"/>
                    </pic:cNvPicPr>
                  </pic:nvPicPr>
                  <pic:blipFill>
                    <a:blip r:embed="rId31"/>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S29.</w:t>
      </w:r>
      <w:r>
        <w:rPr>
          <w:sz w:val="21"/>
          <w:szCs w:val="21"/>
        </w:rPr>
        <w:t xml:space="preserve"> Two-tailed posterior predictive p-values comparing empirical and simulated estimates of Tajima’s D. Rows correspond to historical record configurations (Old gapped, Recent complete, and None), the x-axis indicates the treatment of repeated historical song observations (all occurrences, earliest occurrence only, or none), columns correspond to the five study leks (BR1, TR1, CCE, HC1, and SUR), colors indicate multiple sequence alignment strategies (MAFFT-agnostic, MAFFT-optimal, and PRANK-TN93), and point size indicates whether posterior predictive p-values are significant (&lt; 0.05). The dashed horizontal line indicates p = 0.05.</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10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pic:cNvPicPr>
                      <a:picLocks noChangeAspect="1" noChangeArrowheads="1"/>
                    </pic:cNvPicPr>
                  </pic:nvPicPr>
                  <pic:blipFill>
                    <a:blip r:embed="rId32"/>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S30.</w:t>
      </w:r>
      <w:r>
        <w:rPr>
          <w:sz w:val="21"/>
          <w:szCs w:val="21"/>
        </w:rPr>
        <w:t xml:space="preserve"> Nucleotide diversity (Tajima’s π) estimated from empirical and simulated data. Rows correspond to historical record configurations (Old gapped, Recent complete, and None), the x-axis indicates the treatment of repeated historical song observations (all occurrences, earliest occurrence only, or none), columns correspond to the five study leks (BR1, TR1, CCE, HC1, and SUR), colors indicate multiple sequence alignment strategies (MAFFT-agnostic, MAFFT-optimal, and PRANK-TN93), and symbols distinguish empirical (triangles) from simulated (circles) data. Error bars indicate 95% credible intervals.</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10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pic:cNvPicPr>
                      <a:picLocks noChangeAspect="1" noChangeArrowheads="1"/>
                    </pic:cNvPicPr>
                  </pic:nvPicPr>
                  <pic:blipFill>
                    <a:blip r:embed="rId33"/>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S31.</w:t>
      </w:r>
      <w:r>
        <w:rPr>
          <w:sz w:val="21"/>
          <w:szCs w:val="21"/>
        </w:rPr>
        <w:t xml:space="preserve"> Effect sizes comparing empirical and simulated estimates of nucleotide diversity (Tajima’s π). Rows correspond to historical record configurations (Old gapped, Recent complete, and None), the x-axis indicates the treatment of repeated historical song observations (all occurrences, earliest occurrence only, or none), columns correspond to the five study leks (BR1, TR1, CCE, HC1, and SUR), and colors indicate multiple sequence alignment strategies (MAFFT-agnostic, MAFFT-optimal, and PRANK-TN93). The dashed horizontal line indicates an effect size of 2.</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1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pic:cNvPicPr>
                      <a:picLocks noChangeAspect="1" noChangeArrowheads="1"/>
                    </pic:cNvPicPr>
                  </pic:nvPicPr>
                  <pic:blipFill>
                    <a:blip r:embed="rId34"/>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S32.</w:t>
      </w:r>
      <w:r>
        <w:rPr>
          <w:sz w:val="21"/>
          <w:szCs w:val="21"/>
        </w:rPr>
        <w:t xml:space="preserve"> Two-tailed posterior predictive p-values comparing empirical and simulated estimates of nucleotide diversity (Tajima’s π). Rows correspond to historical record configurations (Old gapped, Recent complete, and None), the x-axis indicates the treatment of repeated historical song observations (all occurrences, earliest occurrence only, or none), columns correspond to the five study leks (BR1, TR1, CCE, HC1, and SUR), colors indicate multiple sequence alignment strategies (MAFFT-agnostic, MAFFT-optimal, and PRANK-TN93), and point size indicates whether posterior predictive p-values are significant (&lt; 0.05). The dashed horizontal line indicates p = 0.05.</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1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pic:cNvPicPr>
                      <a:picLocks noChangeAspect="1" noChangeArrowheads="1"/>
                    </pic:cNvPicPr>
                  </pic:nvPicPr>
                  <pic:blipFill>
                    <a:blip r:embed="rId35"/>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S33.</w:t>
      </w:r>
      <w:r>
        <w:rPr>
          <w:sz w:val="21"/>
          <w:szCs w:val="21"/>
        </w:rPr>
        <w:t xml:space="preserve"> Overall posterior predictive p-values across historical record configurations, treatments of repeated historical song observations, study leks, and sequence alignment strategies.</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1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pic:cNvPicPr>
                      <a:picLocks noChangeAspect="1" noChangeArrowheads="1"/>
                    </pic:cNvPicPr>
                  </pic:nvPicPr>
                  <pic:blipFill>
                    <a:blip r:embed="rId36"/>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S34.</w:t>
      </w:r>
      <w:r>
        <w:rPr>
          <w:sz w:val="21"/>
          <w:szCs w:val="21"/>
        </w:rPr>
        <w:t xml:space="preserve"> Posterior distributions of diversification parameters under alternative historical record configurations.</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1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pic:cNvPicPr>
                      <a:picLocks noChangeAspect="1" noChangeArrowheads="1"/>
                    </pic:cNvPicPr>
                  </pic:nvPicPr>
                  <pic:blipFill>
                    <a:blip r:embed="rId37"/>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S35.</w:t>
      </w:r>
      <w:r>
        <w:rPr>
          <w:sz w:val="21"/>
          <w:szCs w:val="21"/>
        </w:rPr>
        <w:t xml:space="preserve"> Posterior distributions of topological space descriptors under alternative historical record configurations.</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1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pic:cNvPicPr>
                      <a:picLocks noChangeAspect="1" noChangeArrowheads="1"/>
                    </pic:cNvPicPr>
                  </pic:nvPicPr>
                  <pic:blipFill>
                    <a:blip r:embed="rId38"/>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S36.</w:t>
      </w:r>
      <w:r>
        <w:rPr>
          <w:sz w:val="21"/>
          <w:szCs w:val="21"/>
        </w:rPr>
        <w:t xml:space="preserve"> Posterior distributions of diversification parameters under alternative treatments of repeated historical song observations.</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1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pic:cNvPicPr>
                      <a:picLocks noChangeAspect="1" noChangeArrowheads="1"/>
                    </pic:cNvPicPr>
                  </pic:nvPicPr>
                  <pic:blipFill>
                    <a:blip r:embed="rId39"/>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S37.</w:t>
      </w:r>
      <w:r>
        <w:rPr>
          <w:sz w:val="21"/>
          <w:szCs w:val="21"/>
        </w:rPr>
        <w:t xml:space="preserve"> Posterior distributions of topological space descriptors under alternative treatments of repeated historical song observations.</w:t>
      </w:r>
    </w:p>
    <w:p>
      <w:pPr>
        <w:rPr>
          <w:sz w:val="21"/>
          <w:szCs w:val="21"/>
        </w:rPr>
      </w:pPr>
      <w:r>
        <w:rPr>
          <w:sz w:val="21"/>
          <w:szCs w:val="21"/>
        </w:rPr>
        <w:br w:type="page"/>
      </w:r>
    </w:p>
    <w:p>
      <w:pPr>
        <w:pStyle w:val="3"/>
        <w:rPr>
          <w:sz w:val="21"/>
          <w:szCs w:val="21"/>
        </w:rPr>
      </w:pPr>
      <w:r>
        <w:rPr>
          <w:sz w:val="21"/>
          <w:szCs w:val="21"/>
        </w:rPr>
        <w:drawing>
          <wp:inline distT="0" distB="0" distL="114300" distR="114300">
            <wp:extent cx="5334000" cy="2963545"/>
            <wp:effectExtent l="0" t="0" r="0" b="0"/>
            <wp:docPr id="12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pic:cNvPicPr>
                      <a:picLocks noChangeAspect="1" noChangeArrowheads="1"/>
                    </pic:cNvPicPr>
                  </pic:nvPicPr>
                  <pic:blipFill>
                    <a:blip r:embed="rId40"/>
                    <a:stretch>
                      <a:fillRect/>
                    </a:stretch>
                  </pic:blipFill>
                  <pic:spPr>
                    <a:xfrm>
                      <a:off x="0" y="0"/>
                      <a:ext cx="5334000" cy="2963751"/>
                    </a:xfrm>
                    <a:prstGeom prst="rect">
                      <a:avLst/>
                    </a:prstGeom>
                    <a:noFill/>
                    <a:ln w="9525">
                      <a:noFill/>
                    </a:ln>
                  </pic:spPr>
                </pic:pic>
              </a:graphicData>
            </a:graphic>
          </wp:inline>
        </w:drawing>
      </w:r>
    </w:p>
    <w:p>
      <w:pPr>
        <w:pStyle w:val="3"/>
        <w:rPr>
          <w:sz w:val="21"/>
          <w:szCs w:val="21"/>
        </w:rPr>
      </w:pPr>
      <w:r>
        <w:rPr>
          <w:b/>
          <w:bCs/>
          <w:sz w:val="21"/>
          <w:szCs w:val="21"/>
        </w:rPr>
        <w:t>Figure S38.</w:t>
      </w:r>
      <w:r>
        <w:rPr>
          <w:sz w:val="21"/>
          <w:szCs w:val="21"/>
        </w:rPr>
        <w:t xml:space="preserve"> Posterior distributions of topological space descriptors across combinations of historical record configurations and treatments of repeated historical song observations.</w:t>
      </w:r>
    </w:p>
    <w:p>
      <w:pPr>
        <w:rPr>
          <w:sz w:val="21"/>
          <w:szCs w:val="21"/>
        </w:rPr>
      </w:pPr>
      <w:r>
        <w:rPr>
          <w:sz w:val="21"/>
          <w:szCs w:val="21"/>
        </w:rPr>
        <w:br w:type="page"/>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EB Garamond 12"/>
    <w:panose1 w:val="05000000000000000000"/>
    <w:charset w:val="00"/>
    <w:family w:val="auto"/>
    <w:pitch w:val="default"/>
    <w:sig w:usb0="00000000" w:usb1="10000000" w:usb2="00000000" w:usb3="00000000" w:csb0="80000000" w:csb1="00000000"/>
  </w:font>
  <w:font w:name="EB Garamond 12">
    <w:panose1 w:val="02020502060206020403"/>
    <w:charset w:val="00"/>
    <w:family w:val="auto"/>
    <w:pitch w:val="default"/>
    <w:sig w:usb0="E00002FF" w:usb1="5000E4FF" w:usb2="00000028" w:usb3="00000000" w:csb0="000001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FreeSans"/>
    <w:panose1 w:val="020B0004020202020204"/>
    <w:charset w:val="86"/>
    <w:family w:val="swiss"/>
    <w:pitch w:val="default"/>
    <w:sig w:usb0="00000000" w:usb1="00000000" w:usb2="00000000" w:usb3="00000000" w:csb0="0000019F" w:csb1="00000000"/>
  </w:font>
  <w:font w:name="FreeSans">
    <w:panose1 w:val="020B0504020202020204"/>
    <w:charset w:val="00"/>
    <w:family w:val="auto"/>
    <w:pitch w:val="default"/>
    <w:sig w:usb0="E4839EFF" w:usb1="4600FDFF" w:usb2="000030A0" w:usb3="00000584" w:csb0="600001BF" w:csb1="DFF70000"/>
  </w:font>
  <w:font w:name="Aptos">
    <w:altName w:val="Comfortaa Light"/>
    <w:panose1 w:val="00000000000000000000"/>
    <w:charset w:val="00"/>
    <w:family w:val="auto"/>
    <w:pitch w:val="default"/>
    <w:sig w:usb0="00000000" w:usb1="00000000" w:usb2="00000000" w:usb3="00000000" w:csb0="00000000" w:csb1="00000000"/>
  </w:font>
  <w:font w:name="Aptos Display">
    <w:altName w:val="FreeSans"/>
    <w:panose1 w:val="020B0004020202020204"/>
    <w:charset w:val="00"/>
    <w:family w:val="swiss"/>
    <w:pitch w:val="default"/>
    <w:sig w:usb0="00000000" w:usb1="00000000" w:usb2="00000000" w:usb3="00000000" w:csb0="0000019F" w:csb1="00000000"/>
  </w:font>
  <w:font w:name="等线 Light">
    <w:altName w:val="Comfortaa Light"/>
    <w:panose1 w:val="00000000000000000000"/>
    <w:charset w:val="00"/>
    <w:family w:val="auto"/>
    <w:pitch w:val="default"/>
    <w:sig w:usb0="00000000" w:usb1="00000000" w:usb2="00000000" w:usb3="00000000" w:csb0="00000000" w:csb1="00000000"/>
  </w:font>
  <w:font w:name="Comfortaa Light">
    <w:panose1 w:val="00000400000000000000"/>
    <w:charset w:val="00"/>
    <w:family w:val="auto"/>
    <w:pitch w:val="default"/>
    <w:sig w:usb0="20000287" w:usb1="00000002" w:usb2="00000000" w:usb3="00000000" w:csb0="2000019F" w:csb1="00000000"/>
  </w:font>
  <w:font w:name="Consolas">
    <w:altName w:val="Comfortaa Light"/>
    <w:panose1 w:val="00000000000000000000"/>
    <w:charset w:val="00"/>
    <w:family w:val="auto"/>
    <w:pitch w:val="default"/>
    <w:sig w:usb0="00000000" w:usb1="00000000" w:usb2="00000000" w:usb3="00000000" w:csb0="00000000" w:csb1="00000000"/>
  </w:font>
  <w:font w:name="Source Sans Pro">
    <w:panose1 w:val="020B0503030403020204"/>
    <w:charset w:val="00"/>
    <w:family w:val="auto"/>
    <w:pitch w:val="default"/>
    <w:sig w:usb0="20000007" w:usb1="00000001" w:usb2="00000000" w:usb3="00000000" w:csb0="20000193" w:csb1="00000000"/>
  </w:font>
  <w:font w:name="Ani">
    <w:panose1 w:val="00000000000000000000"/>
    <w:charset w:val="00"/>
    <w:family w:val="auto"/>
    <w:pitch w:val="default"/>
    <w:sig w:usb0="00010001" w:usb1="00000000" w:usb2="00000000" w:usb3="00000000" w:csb0="00000000" w:csb1="00000000"/>
  </w:font>
  <w:font w:name="Abyssinica SIL">
    <w:panose1 w:val="02000000000000000000"/>
    <w:charset w:val="00"/>
    <w:family w:val="auto"/>
    <w:pitch w:val="default"/>
    <w:sig w:usb0="800000EF" w:usb1="5200A14B" w:usb2="08000828" w:usb3="00000000" w:csb0="20000001" w:csb1="00000000"/>
  </w:font>
  <w:font w:name="Asana Math">
    <w:panose1 w:val="02000603000000000000"/>
    <w:charset w:val="00"/>
    <w:family w:val="auto"/>
    <w:pitch w:val="default"/>
    <w:sig w:usb0="800000C7" w:usb1="0201E0FF" w:usb2="06000000" w:usb3="00000000" w:csb0="60000009" w:csb1="90D50000"/>
  </w:font>
  <w:font w:name="Bitstream Charter">
    <w:panose1 w:val="00000000000000000000"/>
    <w:charset w:val="00"/>
    <w:family w:val="auto"/>
    <w:pitch w:val="default"/>
    <w:sig w:usb0="00000000" w:usb1="00000000" w:usb2="00000000" w:usb3="00000000" w:csb0="00000000" w:csb1="00000000"/>
  </w:font>
  <w:font w:name="Bitstream Vera Sans">
    <w:panose1 w:val="020B0603030804020204"/>
    <w:charset w:val="00"/>
    <w:family w:val="auto"/>
    <w:pitch w:val="default"/>
    <w:sig w:usb0="800000AF" w:usb1="1000204A" w:usb2="00000000" w:usb3="00000000" w:csb0="00000001" w:csb1="00000000"/>
  </w:font>
  <w:font w:name="Accanthis ADF Std No2">
    <w:panose1 w:val="02030503080000020003"/>
    <w:charset w:val="00"/>
    <w:family w:val="auto"/>
    <w:pitch w:val="default"/>
    <w:sig w:usb0="800000AF" w:usb1="5000204A" w:usb2="00000000" w:usb3="00000000" w:csb0="00000001" w:csb1="C0900000"/>
  </w:font>
  <w:font w:name="AnjaliOldLipi">
    <w:panose1 w:val="02000603000000000000"/>
    <w:charset w:val="00"/>
    <w:family w:val="auto"/>
    <w:pitch w:val="default"/>
    <w:sig w:usb0="80800001" w:usb1="00002000" w:usb2="00000000" w:usb3="00000000" w:csb0="00000001" w:csb1="00000000"/>
  </w:font>
  <w:font w:name="C059">
    <w:panose1 w:val="00000500000000000000"/>
    <w:charset w:val="00"/>
    <w:family w:val="auto"/>
    <w:pitch w:val="default"/>
    <w:sig w:usb0="00000287" w:usb1="00000800" w:usb2="00000000" w:usb3="00000000" w:csb0="6000009F" w:csb1="00000000"/>
  </w:font>
  <w:font w:name="Charis SIL">
    <w:panose1 w:val="02000500060000020004"/>
    <w:charset w:val="00"/>
    <w:family w:val="auto"/>
    <w:pitch w:val="default"/>
    <w:sig w:usb0="A00003FF" w:usb1="5200E1FF" w:usb2="0A000029" w:usb3="00100000" w:csb0="20000197" w:csb1="00000000"/>
  </w:font>
  <w:font w:name="Century Schoolbook L">
    <w:panose1 w:val="00000000000000000000"/>
    <w:charset w:val="00"/>
    <w:family w:val="auto"/>
    <w:pitch w:val="default"/>
    <w:sig w:usb0="00000000" w:usb1="00000000" w:usb2="00000000" w:usb3="00000000" w:csb0="00000000" w:csb1="00000000"/>
  </w:font>
  <w:font w:name="Caladea">
    <w:panose1 w:val="02040503050406030204"/>
    <w:charset w:val="00"/>
    <w:family w:val="auto"/>
    <w:pitch w:val="default"/>
    <w:sig w:usb0="00000007" w:usb1="00000000" w:usb2="00000000" w:usb3="00000000" w:csb0="20000093" w:csb1="00000000"/>
  </w:font>
  <w:font w:name="Cabin">
    <w:panose1 w:val="020B0803050202020004"/>
    <w:charset w:val="00"/>
    <w:family w:val="auto"/>
    <w:pitch w:val="default"/>
    <w:sig w:usb0="8000002F" w:usb1="0000000B" w:usb2="00000000" w:usb3="00000000" w:csb0="00000001" w:csb1="00000000"/>
  </w:font>
  <w:font w:name="Cantarell">
    <w:panose1 w:val="00000000000000000000"/>
    <w:charset w:val="00"/>
    <w:family w:val="auto"/>
    <w:pitch w:val="default"/>
    <w:sig w:usb0="E00002FF" w:usb1="4000217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7BF5D8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next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shd w:val="clear" w:fill="F8F8F8"/>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204A87"/>
      <w:shd w:val="clear" w:fill="F8F8F8"/>
    </w:rPr>
  </w:style>
  <w:style w:type="character" w:customStyle="1" w:styleId="53">
    <w:name w:val="DataTypeTok"/>
    <w:basedOn w:val="48"/>
    <w:uiPriority w:val="0"/>
    <w:rPr>
      <w:color w:val="204A87"/>
      <w:shd w:val="clear" w:fill="F8F8F8"/>
    </w:rPr>
  </w:style>
  <w:style w:type="character" w:customStyle="1" w:styleId="54">
    <w:name w:val="DecValTok"/>
    <w:basedOn w:val="48"/>
    <w:uiPriority w:val="0"/>
    <w:rPr>
      <w:color w:val="0000CF"/>
      <w:shd w:val="clear" w:fill="F8F8F8"/>
    </w:rPr>
  </w:style>
  <w:style w:type="character" w:customStyle="1" w:styleId="55">
    <w:name w:val="BaseNTok"/>
    <w:basedOn w:val="48"/>
    <w:uiPriority w:val="0"/>
    <w:rPr>
      <w:color w:val="0000CF"/>
      <w:shd w:val="clear" w:fill="F8F8F8"/>
    </w:rPr>
  </w:style>
  <w:style w:type="character" w:customStyle="1" w:styleId="56">
    <w:name w:val="FloatTok"/>
    <w:basedOn w:val="48"/>
    <w:uiPriority w:val="0"/>
    <w:rPr>
      <w:color w:val="0000CF"/>
      <w:shd w:val="clear" w:fill="F8F8F8"/>
    </w:rPr>
  </w:style>
  <w:style w:type="character" w:customStyle="1" w:styleId="57">
    <w:name w:val="ConstantTok"/>
    <w:basedOn w:val="48"/>
    <w:uiPriority w:val="0"/>
    <w:rPr>
      <w:color w:val="8F5902"/>
      <w:shd w:val="clear" w:fill="F8F8F8"/>
    </w:rPr>
  </w:style>
  <w:style w:type="character" w:customStyle="1" w:styleId="58">
    <w:name w:val="CharTok"/>
    <w:basedOn w:val="48"/>
    <w:uiPriority w:val="0"/>
    <w:rPr>
      <w:color w:val="4E9A06"/>
      <w:shd w:val="clear" w:fill="F8F8F8"/>
    </w:rPr>
  </w:style>
  <w:style w:type="character" w:customStyle="1" w:styleId="59">
    <w:name w:val="SpecialCharTok"/>
    <w:basedOn w:val="48"/>
    <w:uiPriority w:val="0"/>
    <w:rPr>
      <w:b/>
      <w:color w:val="CE5C00"/>
      <w:shd w:val="clear" w:fill="F8F8F8"/>
    </w:rPr>
  </w:style>
  <w:style w:type="character" w:customStyle="1" w:styleId="60">
    <w:name w:val="StringTok"/>
    <w:basedOn w:val="48"/>
    <w:uiPriority w:val="0"/>
    <w:rPr>
      <w:color w:val="4E9A06"/>
      <w:shd w:val="clear" w:fill="F8F8F8"/>
    </w:rPr>
  </w:style>
  <w:style w:type="character" w:customStyle="1" w:styleId="61">
    <w:name w:val="VerbatimStringTok"/>
    <w:basedOn w:val="48"/>
    <w:uiPriority w:val="0"/>
    <w:rPr>
      <w:color w:val="4E9A06"/>
      <w:shd w:val="clear" w:fill="F8F8F8"/>
    </w:rPr>
  </w:style>
  <w:style w:type="character" w:customStyle="1" w:styleId="62">
    <w:name w:val="SpecialStringTok"/>
    <w:basedOn w:val="48"/>
    <w:uiPriority w:val="0"/>
    <w:rPr>
      <w:color w:val="4E9A06"/>
      <w:shd w:val="clear" w:fill="F8F8F8"/>
    </w:rPr>
  </w:style>
  <w:style w:type="character" w:customStyle="1" w:styleId="63">
    <w:name w:val="ImportTok"/>
    <w:basedOn w:val="48"/>
    <w:uiPriority w:val="0"/>
    <w:rPr>
      <w:shd w:val="clear" w:fill="F8F8F8"/>
    </w:rPr>
  </w:style>
  <w:style w:type="character" w:customStyle="1" w:styleId="64">
    <w:name w:val="CommentTok"/>
    <w:basedOn w:val="48"/>
    <w:uiPriority w:val="0"/>
    <w:rPr>
      <w:i/>
      <w:color w:val="8F5902"/>
      <w:shd w:val="clear" w:fill="F8F8F8"/>
    </w:rPr>
  </w:style>
  <w:style w:type="character" w:customStyle="1" w:styleId="65">
    <w:name w:val="DocumentationTok"/>
    <w:basedOn w:val="48"/>
    <w:uiPriority w:val="0"/>
    <w:rPr>
      <w:b/>
      <w:i/>
      <w:color w:val="8F5902"/>
      <w:shd w:val="clear" w:fill="F8F8F8"/>
    </w:rPr>
  </w:style>
  <w:style w:type="character" w:customStyle="1" w:styleId="66">
    <w:name w:val="AnnotationTok"/>
    <w:basedOn w:val="48"/>
    <w:uiPriority w:val="0"/>
    <w:rPr>
      <w:b/>
      <w:i/>
      <w:color w:val="8F5902"/>
      <w:shd w:val="clear" w:fill="F8F8F8"/>
    </w:rPr>
  </w:style>
  <w:style w:type="character" w:customStyle="1" w:styleId="67">
    <w:name w:val="CommentVarTok"/>
    <w:basedOn w:val="48"/>
    <w:uiPriority w:val="0"/>
    <w:rPr>
      <w:b/>
      <w:i/>
      <w:color w:val="8F5902"/>
      <w:shd w:val="clear" w:fill="F8F8F8"/>
    </w:rPr>
  </w:style>
  <w:style w:type="character" w:customStyle="1" w:styleId="68">
    <w:name w:val="OtherTok"/>
    <w:basedOn w:val="48"/>
    <w:uiPriority w:val="0"/>
    <w:rPr>
      <w:color w:val="8F5902"/>
      <w:shd w:val="clear" w:fill="F8F8F8"/>
    </w:rPr>
  </w:style>
  <w:style w:type="character" w:customStyle="1" w:styleId="69">
    <w:name w:val="FunctionTok"/>
    <w:basedOn w:val="48"/>
    <w:uiPriority w:val="0"/>
    <w:rPr>
      <w:b/>
      <w:color w:val="204A87"/>
      <w:shd w:val="clear" w:fill="F8F8F8"/>
    </w:rPr>
  </w:style>
  <w:style w:type="character" w:customStyle="1" w:styleId="70">
    <w:name w:val="VariableTok"/>
    <w:basedOn w:val="48"/>
    <w:uiPriority w:val="0"/>
    <w:rPr>
      <w:color w:val="000000"/>
      <w:shd w:val="clear" w:fill="F8F8F8"/>
    </w:rPr>
  </w:style>
  <w:style w:type="character" w:customStyle="1" w:styleId="71">
    <w:name w:val="ControlFlowTok"/>
    <w:basedOn w:val="48"/>
    <w:uiPriority w:val="0"/>
    <w:rPr>
      <w:b/>
      <w:color w:val="204A87"/>
      <w:shd w:val="clear" w:fill="F8F8F8"/>
    </w:rPr>
  </w:style>
  <w:style w:type="character" w:customStyle="1" w:styleId="72">
    <w:name w:val="OperatorTok"/>
    <w:basedOn w:val="48"/>
    <w:uiPriority w:val="0"/>
    <w:rPr>
      <w:b/>
      <w:color w:val="CE5C00"/>
      <w:shd w:val="clear" w:fill="F8F8F8"/>
    </w:rPr>
  </w:style>
  <w:style w:type="character" w:customStyle="1" w:styleId="73">
    <w:name w:val="BuiltInTok"/>
    <w:basedOn w:val="48"/>
    <w:uiPriority w:val="0"/>
    <w:rPr>
      <w:shd w:val="clear" w:fill="F8F8F8"/>
    </w:rPr>
  </w:style>
  <w:style w:type="character" w:customStyle="1" w:styleId="74">
    <w:name w:val="ExtensionTok"/>
    <w:basedOn w:val="48"/>
    <w:uiPriority w:val="0"/>
    <w:rPr>
      <w:shd w:val="clear" w:fill="F8F8F8"/>
    </w:rPr>
  </w:style>
  <w:style w:type="character" w:customStyle="1" w:styleId="75">
    <w:name w:val="PreprocessorTok"/>
    <w:basedOn w:val="48"/>
    <w:uiPriority w:val="0"/>
    <w:rPr>
      <w:i/>
      <w:color w:val="8F5902"/>
      <w:shd w:val="clear" w:fill="F8F8F8"/>
    </w:rPr>
  </w:style>
  <w:style w:type="character" w:customStyle="1" w:styleId="76">
    <w:name w:val="AttributeTok"/>
    <w:basedOn w:val="48"/>
    <w:uiPriority w:val="0"/>
    <w:rPr>
      <w:color w:val="204A87"/>
      <w:shd w:val="clear" w:fill="F8F8F8"/>
    </w:rPr>
  </w:style>
  <w:style w:type="character" w:customStyle="1" w:styleId="77">
    <w:name w:val="RegionMarkerTok"/>
    <w:basedOn w:val="48"/>
    <w:uiPriority w:val="0"/>
    <w:rPr>
      <w:shd w:val="clear" w:fill="F8F8F8"/>
    </w:rPr>
  </w:style>
  <w:style w:type="character" w:customStyle="1" w:styleId="78">
    <w:name w:val="InformationTok"/>
    <w:basedOn w:val="48"/>
    <w:uiPriority w:val="0"/>
    <w:rPr>
      <w:b/>
      <w:i/>
      <w:color w:val="8F5902"/>
      <w:shd w:val="clear" w:fill="F8F8F8"/>
    </w:rPr>
  </w:style>
  <w:style w:type="character" w:customStyle="1" w:styleId="79">
    <w:name w:val="WarningTok"/>
    <w:basedOn w:val="48"/>
    <w:uiPriority w:val="0"/>
    <w:rPr>
      <w:b/>
      <w:i/>
      <w:color w:val="8F5902"/>
      <w:shd w:val="clear" w:fill="F8F8F8"/>
    </w:rPr>
  </w:style>
  <w:style w:type="character" w:customStyle="1" w:styleId="80">
    <w:name w:val="AlertTok"/>
    <w:basedOn w:val="48"/>
    <w:uiPriority w:val="0"/>
    <w:rPr>
      <w:color w:val="EF2929"/>
      <w:shd w:val="clear" w:fill="F8F8F8"/>
    </w:rPr>
  </w:style>
  <w:style w:type="character" w:customStyle="1" w:styleId="81">
    <w:name w:val="ErrorTok"/>
    <w:basedOn w:val="48"/>
    <w:uiPriority w:val="0"/>
    <w:rPr>
      <w:b/>
      <w:color w:val="A40000"/>
      <w:shd w:val="clear" w:fill="F8F8F8"/>
    </w:rPr>
  </w:style>
  <w:style w:type="character" w:customStyle="1" w:styleId="82">
    <w:name w:val="NormalTok"/>
    <w:basedOn w:val="48"/>
    <w:uiPriority w:val="0"/>
    <w:rPr>
      <w:shd w:val="clear" w:fill="F8F8F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1" Type="http://schemas.openxmlformats.org/officeDocument/2006/relationships/fontTable" Target="fontTable.xml"/><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9</TotalTime>
  <ScaleCrop>false</ScaleCrop>
  <LinksUpToDate>false</LinksUpToDate>
  <CharactersWithSpaces>583</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2026-07-09T19:34:00Z</dcterms:created>
  <dc:creator>marce</dc:creator>
  <cp:lastModifiedBy>marce</cp:lastModifiedBy>
  <dcterms:modified xsi:type="dcterms:W3CDTF">2026-07-09T19:38:36Z</dcterms:modified>
  <dc:title>Supplementary Figures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y fmtid="{D5CDD505-2E9C-101B-9397-08002B2CF9AE}" pid="4" name="header-includes">
    <vt:lpwstr/>
  </property>
  <property fmtid="{D5CDD505-2E9C-101B-9397-08002B2CF9AE}" pid="5" name="output">
    <vt:lpwstr/>
  </property>
  <property fmtid="{D5CDD505-2E9C-101B-9397-08002B2CF9AE}" pid="6" name="KSOProductBuildVer">
    <vt:lpwstr>1033-11.1.0.11698</vt:lpwstr>
  </property>
</Properties>
</file>