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SANTIAGO SILVESTRI MONGE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58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2FEE5DF1"/>
    <w:rsid w:val="372F8361"/>
    <w:rsid w:val="38FDAA5D"/>
    <w:rsid w:val="3DFB95E2"/>
    <w:rsid w:val="4FF7177B"/>
    <w:rsid w:val="5FBBE8ED"/>
    <w:rsid w:val="69F7F678"/>
    <w:rsid w:val="6F383796"/>
    <w:rsid w:val="8FF154F0"/>
    <w:rsid w:val="A97E4561"/>
    <w:rsid w:val="AF8CABCA"/>
    <w:rsid w:val="B7EF4334"/>
    <w:rsid w:val="BB7F5A54"/>
    <w:rsid w:val="BFBDC2AE"/>
    <w:rsid w:val="BFFF6C63"/>
    <w:rsid w:val="D7BFA77C"/>
    <w:rsid w:val="DB66DB32"/>
    <w:rsid w:val="DD5BC8BF"/>
    <w:rsid w:val="EDD35220"/>
    <w:rsid w:val="EE7394FA"/>
    <w:rsid w:val="EE9FF044"/>
    <w:rsid w:val="EEDF5B15"/>
    <w:rsid w:val="EEFF9610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564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2022-11-16T01:54:00Z</dcterms:created>
  <dc:creator>Mario Espinoza</dc:creator>
  <cp:lastModifiedBy>marce</cp:lastModifiedBy>
  <dcterms:modified xsi:type="dcterms:W3CDTF">2023-11-30T10:02:02Z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