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lang w:val="en-US"/>
        </w:rPr>
      </w:pPr>
      <w:r>
        <w:rPr>
          <w:rFonts w:hint="default" w:ascii="Arial" w:hAnsi="Arial" w:cs="Arial"/>
          <w:lang w:val="en-US"/>
        </w:rPr>
        <w:t>February 18, 2026</w:t>
      </w:r>
      <w:bookmarkStart w:id="0" w:name="_GoBack"/>
      <w:bookmarkEnd w:id="0"/>
    </w:p>
    <w:p>
      <w:pPr>
        <w:rPr>
          <w:rFonts w:ascii="Arial" w:hAnsi="Arial" w:cs="Arial"/>
          <w:lang w:val="en-US"/>
        </w:rPr>
      </w:pPr>
      <w:r>
        <w:rPr>
          <w:rFonts w:ascii="Arial" w:hAnsi="Arial" w:cs="Arial"/>
          <w:lang w:val="en-US"/>
        </w:rPr>
        <w:t>To the editorial board at Science</w:t>
      </w:r>
    </w:p>
    <w:p>
      <w:pPr>
        <w:rPr>
          <w:rFonts w:ascii="Arial" w:hAnsi="Arial" w:cs="Arial"/>
          <w:lang w:val="en-US"/>
        </w:rPr>
      </w:pPr>
      <w:r>
        <w:rPr>
          <w:rFonts w:ascii="Arial" w:hAnsi="Arial" w:cs="Arial"/>
          <w:lang w:val="en-US"/>
        </w:rPr>
        <w:t>Dear Deputy Editor Dr. Sacha Vignieri,</w:t>
      </w:r>
    </w:p>
    <w:p>
      <w:pPr>
        <w:rPr>
          <w:rFonts w:ascii="Arial" w:hAnsi="Arial" w:cs="Arial"/>
          <w:lang w:val="en-US"/>
        </w:rPr>
      </w:pPr>
      <w:r>
        <w:rPr>
          <w:rFonts w:ascii="Arial" w:hAnsi="Arial" w:cs="Arial"/>
          <w:lang w:val="en-US"/>
        </w:rPr>
        <w:t>We are pleased to submit our manuscript, “</w:t>
      </w:r>
      <w:r>
        <w:rPr>
          <w:rFonts w:ascii="Arial" w:hAnsi="Arial" w:cs="Arial"/>
          <w:b/>
          <w:bCs/>
          <w:lang w:val="en-US"/>
        </w:rPr>
        <w:t>Familiarity enhances coordination and efficiency in complex collective tasks</w:t>
      </w:r>
      <w:r>
        <w:rPr>
          <w:rFonts w:ascii="Arial" w:hAnsi="Arial" w:cs="Arial"/>
          <w:lang w:val="en-US"/>
        </w:rPr>
        <w:t>” for consideration as a Research Article in Science.</w:t>
      </w:r>
    </w:p>
    <w:p>
      <w:pPr>
        <w:rPr>
          <w:rFonts w:ascii="Arial" w:hAnsi="Arial" w:cs="Arial"/>
          <w:lang w:val="en-US"/>
        </w:rPr>
      </w:pPr>
      <w:r>
        <w:rPr>
          <w:rFonts w:ascii="Arial" w:hAnsi="Arial" w:cs="Arial"/>
          <w:lang w:val="en-US"/>
        </w:rPr>
        <w:t>A central challenge in collective behavior is understanding how groups achieve coordinated, efficient performance in complex, real-world tasks. In many systems, impressive collective feats emerge from simple local rules and can occur even when group membership is effectively anonymous. In humans, however, stable team membership (“team familiarity”) reliably improves coordination and performance, particularly when tasks demand tight temporal and spatial alignment and efficient communication. Whether such familiarity confers comparable advantages in other animals, particularly in ecologically relevant tasks, remains largely unresolved because familiarity is typically confounded with stable co-movement.</w:t>
      </w:r>
    </w:p>
    <w:p>
      <w:pPr>
        <w:rPr>
          <w:rFonts w:ascii="Arial" w:hAnsi="Arial" w:cs="Arial"/>
          <w:lang w:val="en-US"/>
        </w:rPr>
      </w:pPr>
      <w:r>
        <w:rPr>
          <w:rFonts w:ascii="Arial" w:hAnsi="Arial" w:cs="Arial"/>
          <w:lang w:val="en-US"/>
        </w:rPr>
        <w:t>We address this question using an experimentally tractable natural system: Spix’s disc-winged bats (</w:t>
      </w:r>
      <w:r>
        <w:rPr>
          <w:rFonts w:ascii="Arial" w:hAnsi="Arial" w:cs="Arial"/>
          <w:i/>
          <w:iCs/>
          <w:lang w:val="en-US"/>
        </w:rPr>
        <w:t>Thyroptera tricolor</w:t>
      </w:r>
      <w:r>
        <w:rPr>
          <w:rFonts w:ascii="Arial" w:hAnsi="Arial" w:cs="Arial"/>
          <w:lang w:val="en-US"/>
        </w:rPr>
        <w:t>), which live in small, highly stable groups and must locate a new roost almost daily. This repeated, high-stakes challenge requires the group to (i) maintain spatial cohesion while moving through a cluttered environment, (ii) coordinate vocal signaling without jamming, and (iii) enter the roost in rapid succession, an outcome that can reduce detectability and individual risk. As these natural collective tasks can be replicated under controlled conditions, we temporarily brought intact wild-caught groups into a large flight cage and compared their performance with experimentally assembled groups of unfamiliar individuals.</w:t>
      </w:r>
    </w:p>
    <w:p>
      <w:pPr>
        <w:rPr>
          <w:rFonts w:ascii="Arial" w:hAnsi="Arial" w:cs="Arial"/>
          <w:lang w:val="en-US"/>
        </w:rPr>
      </w:pPr>
      <w:r>
        <w:rPr>
          <w:rFonts w:ascii="Arial" w:hAnsi="Arial" w:cs="Arial"/>
          <w:lang w:val="en-US"/>
        </w:rPr>
        <w:t>Our study provides a rare experimental test of familiarity as a causal driver of collective performance in a wild social species while preserving the ecological realism of the task. We quantify three complementary components of coordination that are seldom examined together in one system: (1) movement coordination via 3-D flight trajectory reconstruction, (2) communication coordination via analyses of contact-call production and call temporal overlap, and (3) temporal coordination via roost-entry synchrony. We also build null expectations using Monte Carlo simulations, allowing us to disentangle improvements due to grouping per se from additional gains that arise specifically from familiarity.</w:t>
      </w:r>
    </w:p>
    <w:p>
      <w:pPr>
        <w:rPr>
          <w:rFonts w:ascii="Arial" w:hAnsi="Arial" w:cs="Arial"/>
          <w:lang w:val="en-US"/>
        </w:rPr>
      </w:pPr>
      <w:r>
        <w:rPr>
          <w:rFonts w:ascii="Arial" w:hAnsi="Arial" w:cs="Arial"/>
          <w:lang w:val="en-US"/>
        </w:rPr>
        <w:t>Unfamiliar groups often exceeded null expectations, indicating that coordination can emerge spontaneously in collective contexts. Yet, across all three domains, familiar groups consistently outperformed unfamiliar groups. Familiar bats flew closer together, entered roosts in tighter synchrony, and—while minimizing call overlap—collectively produced a richer acoustic stream than unfamiliar groups. In other words, grouping already yields substantial benefits, but stable membership yields an additional, measurable boost in coordination and efficiency.</w:t>
      </w:r>
    </w:p>
    <w:p>
      <w:pPr>
        <w:rPr>
          <w:rFonts w:ascii="Arial" w:hAnsi="Arial" w:cs="Arial"/>
          <w:lang w:val="en-US"/>
        </w:rPr>
      </w:pPr>
      <w:r>
        <w:rPr>
          <w:rFonts w:ascii="Arial" w:hAnsi="Arial" w:cs="Arial"/>
        </w:rPr>
        <w:t>These findings advance the view that familiarity is a general</w:t>
      </w:r>
      <w:r>
        <w:rPr>
          <w:rFonts w:ascii="Arial" w:hAnsi="Arial" w:cs="Arial"/>
          <w:lang w:val="en-US"/>
        </w:rPr>
        <w:t xml:space="preserve"> contributor to collective success beyond humans. They also identify a powerful route by which stable social structure can translate into functional advantages: familiar groups can coordinate both movement and signaling more effectively, improving performance in a recurrent ecological challenge. Because coordinated collective movement and communication underpin many processes across taxa, ranging from predator avoidance to reproductive coordination and migration, our findings have broad implications for behavioral ecology, collective behavior, and the evolution of social stability.</w:t>
      </w:r>
    </w:p>
    <w:p>
      <w:pPr>
        <w:rPr>
          <w:rFonts w:ascii="Arial" w:hAnsi="Arial" w:cs="Arial"/>
          <w:lang w:val="en-US"/>
        </w:rPr>
      </w:pPr>
      <w:r>
        <w:rPr>
          <w:rFonts w:ascii="Arial" w:hAnsi="Arial" w:cs="Arial"/>
          <w:lang w:val="en-US"/>
        </w:rPr>
        <w:t>We confirm that this work is original, has not been published previously, and is not under consideration elsewhere. We have included all relevant methodological details and analyses in the Supplementary Materials.</w:t>
      </w:r>
    </w:p>
    <w:p>
      <w:pPr>
        <w:rPr>
          <w:rFonts w:ascii="Arial" w:hAnsi="Arial" w:cs="Arial"/>
          <w:lang w:val="en-US"/>
        </w:rPr>
      </w:pPr>
      <w:r>
        <w:rPr>
          <w:rFonts w:ascii="Arial" w:hAnsi="Arial" w:cs="Arial"/>
          <w:lang w:val="en-US"/>
        </w:rPr>
        <w:t>Thank you for your consideration. We would be delighted to provide any additional information that would help with editorial assessment.</w:t>
      </w:r>
    </w:p>
    <w:p>
      <w:pPr>
        <w:rPr>
          <w:rFonts w:ascii="Arial" w:hAnsi="Arial" w:cs="Arial"/>
          <w:lang w:val="en-US"/>
        </w:rPr>
      </w:pPr>
      <w:r>
        <w:rPr>
          <w:rFonts w:ascii="Arial" w:hAnsi="Arial" w:cs="Arial"/>
          <w:lang w:val="en-US"/>
        </w:rPr>
        <w:t>Sincerely,</w:t>
      </w:r>
    </w:p>
    <w:p>
      <w:pPr>
        <w:rPr>
          <w:rFonts w:ascii="Arial" w:hAnsi="Arial" w:cs="Arial"/>
          <w:lang w:val="en-US"/>
        </w:rPr>
      </w:pPr>
      <w:r>
        <w:rPr>
          <w:rFonts w:ascii="Arial" w:hAnsi="Arial" w:cs="Arial"/>
          <w:lang w:val="en-US"/>
        </w:rPr>
        <w:t>Marcelo Araya-Salas and Gloriana Chaverri, on behalf of all authors</w:t>
      </w:r>
    </w:p>
    <w:p>
      <w:pPr>
        <w:rPr>
          <w:rFonts w:ascii="Arial" w:hAnsi="Arial" w:cs="Arial"/>
          <w:lang w:val="en-US"/>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等线 Light">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CD0"/>
    <w:rsid w:val="000F3CD0"/>
    <w:rsid w:val="001230A8"/>
    <w:rsid w:val="001D03D3"/>
    <w:rsid w:val="002F3AD4"/>
    <w:rsid w:val="004313BB"/>
    <w:rsid w:val="004A4B4E"/>
    <w:rsid w:val="00555A4C"/>
    <w:rsid w:val="0055625E"/>
    <w:rsid w:val="005D0CB5"/>
    <w:rsid w:val="00605839"/>
    <w:rsid w:val="006D7B71"/>
    <w:rsid w:val="00AE40FE"/>
    <w:rsid w:val="00C2628D"/>
    <w:rsid w:val="00D17D8B"/>
    <w:rsid w:val="00F1280D"/>
    <w:rsid w:val="00F469E6"/>
    <w:rsid w:val="D95A318D"/>
    <w:rsid w:val="E5EF5DD5"/>
    <w:rsid w:val="E7BF2D8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semiHidden/>
    <w:unhideWhenUsed/>
    <w:qFormat/>
    <w:uiPriority w:val="99"/>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20">
    <w:name w:val="Título 4 Car"/>
    <w:basedOn w:val="11"/>
    <w:link w:val="5"/>
    <w:semiHidden/>
    <w:qFormat/>
    <w:uiPriority w:val="9"/>
    <w:rPr>
      <w:rFonts w:eastAsiaTheme="majorEastAsia" w:cstheme="majorBidi"/>
      <w:i/>
      <w:iCs/>
      <w:color w:val="104862" w:themeColor="accent1" w:themeShade="BF"/>
    </w:rPr>
  </w:style>
  <w:style w:type="character" w:customStyle="1" w:styleId="21">
    <w:name w:val="Título 5 Car"/>
    <w:basedOn w:val="11"/>
    <w:link w:val="6"/>
    <w:semiHidden/>
    <w:qFormat/>
    <w:uiPriority w:val="9"/>
    <w:rPr>
      <w:rFonts w:eastAsiaTheme="majorEastAsia" w:cstheme="majorBidi"/>
      <w:color w:val="104862" w:themeColor="accent1" w:themeShade="BF"/>
    </w:rPr>
  </w:style>
  <w:style w:type="character" w:customStyle="1" w:styleId="22">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ítulo C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ítulo C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Cita C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Énfasis intenso1"/>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Cita destacada Car"/>
    <w:basedOn w:val="11"/>
    <w:link w:val="32"/>
    <w:qFormat/>
    <w:uiPriority w:val="30"/>
    <w:rPr>
      <w:i/>
      <w:iCs/>
      <w:color w:val="104862" w:themeColor="accent1" w:themeShade="BF"/>
    </w:rPr>
  </w:style>
  <w:style w:type="character" w:customStyle="1" w:styleId="34">
    <w:name w:val="Referencia intensa1"/>
    <w:basedOn w:val="11"/>
    <w:qFormat/>
    <w:uiPriority w:val="32"/>
    <w:rPr>
      <w:b/>
      <w:bCs/>
      <w:smallCaps/>
      <w:color w:val="104862" w:themeColor="accent1" w:themeShade="BF"/>
      <w:spacing w:val="5"/>
    </w:rPr>
  </w:style>
  <w:style w:type="paragraph" w:customStyle="1" w:styleId="35">
    <w:name w:val="Revision"/>
    <w:hidden/>
    <w:unhideWhenUsed/>
    <w:qFormat/>
    <w:uiPriority w:val="99"/>
    <w:rPr>
      <w:rFonts w:asciiTheme="minorHAnsi" w:hAnsiTheme="minorHAnsi" w:eastAsiaTheme="minorHAnsi" w:cstheme="minorBidi"/>
      <w:kern w:val="2"/>
      <w:sz w:val="22"/>
      <w:szCs w:val="22"/>
      <w:lang w:val="zh-CN" w:eastAsia="en-US" w:bidi="ar-SA"/>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542</Words>
  <Characters>3518</Characters>
  <Lines>55</Lines>
  <Paragraphs>11</Paragraphs>
  <TotalTime>5</TotalTime>
  <ScaleCrop>false</ScaleCrop>
  <LinksUpToDate>false</LinksUpToDate>
  <CharactersWithSpaces>4049</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2026-02-11T12:17:00Z</dcterms:created>
  <dc:creator>GLORIANA CHAVERRI ECHANDI</dc:creator>
  <cp:lastModifiedBy>marcelo</cp:lastModifiedBy>
  <dcterms:modified xsi:type="dcterms:W3CDTF">2026-02-18T09:41:39Z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