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Familiarity enhances coordination and efficiency in complex collective tasks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Marcelo Araya-Salas</w:t>
      </w:r>
      <w:r>
        <w:rPr>
          <w:rFonts w:ascii="Times New Roman" w:hAnsi="Times New Roman" w:eastAsia="Times New Roman" w:cs="Times New Roman"/>
          <w:sz w:val="24"/>
          <w:szCs w:val="24"/>
          <w:vertAlign w:val="superscript"/>
          <w:lang w:val="es-CR"/>
        </w:rPr>
        <w:t>1,2</w:t>
      </w:r>
      <w:r>
        <w:rPr>
          <w:rFonts w:ascii="Times New Roman" w:hAnsi="Times New Roman" w:eastAsia="Times New Roman" w:cs="Times New Roman"/>
          <w:sz w:val="24"/>
          <w:szCs w:val="24"/>
          <w:lang w:val="es-CR"/>
        </w:rPr>
        <w:t>, Damien R. Farine</w:t>
      </w:r>
      <w:r>
        <w:rPr>
          <w:rFonts w:ascii="Times New Roman" w:hAnsi="Times New Roman" w:eastAsia="Times New Roman" w:cs="Times New Roman"/>
          <w:sz w:val="24"/>
          <w:szCs w:val="24"/>
          <w:vertAlign w:val="superscript"/>
          <w:lang w:val="es-CR"/>
        </w:rPr>
        <w:t>3,4</w:t>
      </w:r>
      <w:r>
        <w:rPr>
          <w:rFonts w:ascii="Times New Roman" w:hAnsi="Times New Roman" w:eastAsia="Times New Roman" w:cs="Times New Roman"/>
          <w:sz w:val="24"/>
          <w:szCs w:val="24"/>
          <w:lang w:val="es-CR"/>
        </w:rPr>
        <w:t>, Holger Goerlitz</w:t>
      </w:r>
      <w:r>
        <w:rPr>
          <w:rFonts w:ascii="Times New Roman" w:hAnsi="Times New Roman" w:eastAsia="Times New Roman" w:cs="Times New Roman"/>
          <w:sz w:val="24"/>
          <w:szCs w:val="24"/>
          <w:vertAlign w:val="superscript"/>
          <w:lang w:val="es-CR"/>
        </w:rPr>
        <w:t>5</w:t>
      </w:r>
      <w:r>
        <w:rPr>
          <w:rFonts w:ascii="Times New Roman" w:hAnsi="Times New Roman" w:eastAsia="Times New Roman" w:cs="Times New Roman"/>
          <w:sz w:val="24"/>
          <w:szCs w:val="24"/>
          <w:lang w:val="es-CR"/>
        </w:rPr>
        <w:t>, Nazareth Rojas-Rojas</w:t>
      </w:r>
      <w:r>
        <w:rPr>
          <w:rFonts w:ascii="Times New Roman" w:hAnsi="Times New Roman" w:eastAsia="Times New Roman" w:cs="Times New Roman"/>
          <w:sz w:val="24"/>
          <w:szCs w:val="24"/>
          <w:vertAlign w:val="superscript"/>
          <w:lang w:val="es-CR"/>
        </w:rPr>
        <w:t>6</w:t>
      </w:r>
      <w:r>
        <w:rPr>
          <w:rFonts w:ascii="Times New Roman" w:hAnsi="Times New Roman" w:eastAsia="Times New Roman" w:cs="Times New Roman"/>
          <w:sz w:val="24"/>
          <w:szCs w:val="24"/>
          <w:lang w:val="es-CR"/>
        </w:rPr>
        <w:t>, Silvia Chaves-Ramírez</w:t>
      </w:r>
      <w:r>
        <w:rPr>
          <w:rFonts w:ascii="Times New Roman" w:hAnsi="Times New Roman" w:eastAsia="Times New Roman" w:cs="Times New Roman"/>
          <w:sz w:val="24"/>
          <w:szCs w:val="24"/>
          <w:vertAlign w:val="superscript"/>
          <w:lang w:val="es-CR"/>
        </w:rPr>
        <w:t>7</w:t>
      </w:r>
      <w:r>
        <w:rPr>
          <w:rFonts w:ascii="Times New Roman" w:hAnsi="Times New Roman" w:eastAsia="Times New Roman" w:cs="Times New Roman"/>
          <w:sz w:val="24"/>
          <w:szCs w:val="24"/>
          <w:lang w:val="es-CR"/>
        </w:rPr>
        <w:t>, Mariela Sánchez-Chavarría</w:t>
      </w:r>
      <w:r>
        <w:rPr>
          <w:rFonts w:ascii="Times New Roman" w:hAnsi="Times New Roman" w:eastAsia="Times New Roman" w:cs="Times New Roman"/>
          <w:sz w:val="24"/>
          <w:szCs w:val="24"/>
          <w:vertAlign w:val="superscript"/>
          <w:lang w:val="es-CR"/>
        </w:rPr>
        <w:t>8</w:t>
      </w:r>
      <w:r>
        <w:rPr>
          <w:rFonts w:ascii="Times New Roman" w:hAnsi="Times New Roman" w:eastAsia="Times New Roman" w:cs="Times New Roman"/>
          <w:sz w:val="24"/>
          <w:szCs w:val="24"/>
          <w:lang w:val="es-CR"/>
        </w:rPr>
        <w:t>, Gloriana Chaverri</w:t>
      </w:r>
      <w:r>
        <w:rPr>
          <w:rFonts w:ascii="Times New Roman" w:hAnsi="Times New Roman" w:eastAsia="Times New Roman" w:cs="Times New Roman"/>
          <w:sz w:val="24"/>
          <w:szCs w:val="24"/>
          <w:vertAlign w:val="superscript"/>
          <w:lang w:val="es-CR"/>
        </w:rPr>
        <w:t>9,10</w:t>
      </w:r>
    </w:p>
    <w:p>
      <w:pPr>
        <w:rPr>
          <w:rFonts w:ascii="Times New Roman" w:hAnsi="Times New Roman" w:eastAsia="Times New Roman" w:cs="Times New Roman"/>
          <w:sz w:val="24"/>
          <w:szCs w:val="24"/>
          <w:lang w:val="es-CR"/>
        </w:rPr>
      </w:pP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Affiliations:</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1 Centro de Investigación en Neurociencias, Universidad de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2 Escuela de Biología, Universidad de Costa Rica, 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5 Max Planck Institute for Biological Intelligence, Seewiesen, Germay</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9 Sede del Sur, Universidad de Costa Rica, Golfito,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10 Smithsonian Tropical Research Institute, Balboa, Ancón, Republica de Panamá</w:t>
      </w:r>
    </w:p>
    <w:p>
      <w:pPr>
        <w:rPr>
          <w:rFonts w:ascii="Times New Roman" w:hAnsi="Times New Roman" w:eastAsia="Times New Roman" w:cs="Times New Roman"/>
          <w:sz w:val="24"/>
          <w:szCs w:val="24"/>
          <w:lang w:val="es-CR"/>
        </w:rPr>
      </w:pPr>
    </w:p>
    <w:p>
      <w:pPr>
        <w:rPr>
          <w:rFonts w:ascii="Times New Roman" w:hAnsi="Times New Roman" w:eastAsia="Times New Roman" w:cs="Times New Roman"/>
          <w:b/>
          <w:bCs/>
          <w:sz w:val="24"/>
          <w:szCs w:val="24"/>
          <w:lang w:val="es-CR"/>
        </w:rPr>
      </w:pPr>
      <w:r>
        <w:rPr>
          <w:rFonts w:ascii="Times New Roman" w:hAnsi="Times New Roman" w:eastAsia="Times New Roman" w:cs="Times New Roman"/>
          <w:b/>
          <w:bCs/>
          <w:sz w:val="24"/>
          <w:szCs w:val="24"/>
          <w:lang w:val="es-CR"/>
        </w:rPr>
        <w:t>Abstract</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Yet, direct evidence from wild collectives is limited. To test whether this principle extends to other species, we examined natural groups of Spix’s disc-winged bats (</w:t>
      </w:r>
      <w:r>
        <w:rPr>
          <w:rFonts w:ascii="Times New Roman" w:hAnsi="Times New Roman" w:eastAsia="Times New Roman" w:cs="Times New Roman"/>
          <w:i/>
          <w:iCs/>
          <w:sz w:val="24"/>
          <w:szCs w:val="24"/>
          <w:lang w:val="en-US"/>
        </w:rPr>
        <w:t>Thyroptera tricolor</w:t>
      </w:r>
      <w:r>
        <w:rPr>
          <w:rFonts w:ascii="Times New Roman" w:hAnsi="Times New Roman" w:eastAsia="Times New Roman" w:cs="Times New Roman"/>
          <w:sz w:val="24"/>
          <w:szCs w:val="24"/>
          <w:lang w:val="en-US"/>
        </w:rPr>
        <w:t>) and experimentally assembled unfamiliar groups. Using three-dimensional flight reconstructions and roost-entry trials, we found that familiar groups maintained closer spatial cohesion, entered roosts in tighter synchrony, and collectively produced more acoustic signals while still minimizing signal overlap. These findings show that familiarity facilitates communication and coordination, extending the concept of team familiarity beyond humans and highlighting a general principle of collective success in animal societies.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Animals can express remarkable collective behaviours, </w:t>
      </w:r>
      <w:r>
        <w:rPr>
          <w:rFonts w:ascii="Times New Roman" w:hAnsi="Times New Roman" w:eastAsia="Times New Roman" w:cs="Times New Roman"/>
          <w:sz w:val="24"/>
          <w:szCs w:val="24"/>
          <w:lang w:val="en-US"/>
        </w:rPr>
        <w:t xml:space="preserve">such as ants linking their bodies to form living bridges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honeybee swarms reaching consensus on the location of a new nest site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or predators coordinating group hunts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Although these feats may seem complex, they often emerge from simple rules</w:t>
      </w:r>
      <w:r>
        <w:rPr>
          <w:rFonts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effectively detecting and avoiding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flocks of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Yet, human groups with stable membership consistently outperform those with fluctuating membership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especially when decisions require greater cooperation and efficient communication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improves their coordination and performance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experimentally tested whether familiarity increases group performance during collective tasks by non-human animals. Lab experiments using fish have shown that familiarity can increase coordination in schools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facilitate transmission of information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where individuals live and move together. This limits our ability to compare performance of collectives at solving ecologically relevant challenges in both familiar and unfamiliar settings. We overcome this challenge by bringing wild-caught groups of Spix’s disc-winged bat (</w:t>
      </w:r>
      <w:r>
        <w:rPr>
          <w:rFonts w:ascii="Times New Roman" w:hAnsi="Times New Roman" w:eastAsia="Times New Roman" w:cs="Times New Roman"/>
          <w:i/>
          <w:iCs/>
          <w:sz w:val="24"/>
          <w:szCs w:val="24"/>
          <w:lang w:val="en-GB"/>
        </w:rPr>
        <w:t>Thyroptera tricolor</w:t>
      </w:r>
      <w:r>
        <w:rPr>
          <w:rFonts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Because these leaves unfurl after approximately one day, groups must repeatedly find new sleeping sites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J."},{"family":"James","given":"Richard"}],"issued":{"date-parts":[["2008",1]]}}},{"id":292,"uris":["http://zotero.org/users/10851648/items/JPV8NS5J"],"itemData":{"id":292,"type":"book","event-place":"New York","publisher":"Oxford University Press","publisher-place":"New York","title":"Living in groups","author":[{"family":"Krause","given":"J"},{"family":"Ruxton","given":"G D"}],"issued":{"date-parts":[["2002"]]}}}],"schema":"https://github.com/citation-style-language/schema/raw/master/csl-citation.json"}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spatial and temporal ecological challenge is readily replicated in laboratory conditions.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ascii="Times New Roman" w:hAnsi="Times New Roman" w:eastAsia="Times New Roman" w:cs="Times New Roman"/>
          <w:sz w:val="24"/>
          <w:szCs w:val="24"/>
          <w:lang w:val="en-US"/>
        </w:rPr>
        <w:t>; Figure 1a-b</w:t>
      </w:r>
      <w:r>
        <w:rPr>
          <w:rFonts w:ascii="Times New Roman" w:hAnsi="Times New Roman" w:eastAsia="Times New Roman" w:cs="Times New Roman"/>
          <w:sz w:val="24"/>
          <w:szCs w:val="24"/>
          <w:lang w:val="en-GB"/>
        </w:rPr>
        <w:t xml:space="preserve">).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(Figure </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combined; </w:t>
      </w:r>
      <w:r>
        <w:rPr>
          <w:rFonts w:ascii="Times New Roman" w:hAnsi="Times New Roman" w:eastAsia="Times New Roman" w:cs="Times New Roman"/>
          <w:sz w:val="24"/>
          <w:szCs w:val="24"/>
          <w:lang w:val="en-US"/>
        </w:rPr>
        <w:t>Figure 1c and 2</w:t>
      </w:r>
      <w:r>
        <w:rPr>
          <w:rFonts w:ascii="Times New Roman" w:hAnsi="Times New Roman" w:eastAsia="Times New Roman" w:cs="Times New Roman"/>
          <w:sz w:val="24"/>
          <w:szCs w:val="24"/>
          <w:lang w:val="en-GB"/>
        </w:rPr>
        <w:t>), confirming that familiarity facilitates greater coordination.</w:t>
      </w:r>
    </w:p>
    <w:p>
      <w:pPr>
        <w:jc w:val="cente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drawing>
          <wp:inline distT="0" distB="0" distL="114300" distR="114300">
            <wp:extent cx="5941060" cy="4752340"/>
            <wp:effectExtent l="0" t="0" r="2540" b="10160"/>
            <wp:docPr id="1" name="Picture 1"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ight_coordination_diagram"/>
                    <pic:cNvPicPr>
                      <a:picLocks noChangeAspect="1"/>
                    </pic:cNvPicPr>
                  </pic:nvPicPr>
                  <pic:blipFill>
                    <a:blip r:embed="rId8"/>
                    <a:stretch>
                      <a:fillRect/>
                    </a:stretch>
                  </pic:blipFill>
                  <pic:spPr>
                    <a:xfrm>
                      <a:off x="0" y="0"/>
                      <a:ext cx="5941060" cy="4752340"/>
                    </a:xfrm>
                    <a:prstGeom prst="rect">
                      <a:avLst/>
                    </a:prstGeom>
                  </pic:spPr>
                </pic:pic>
              </a:graphicData>
            </a:graphic>
          </wp:inline>
        </w:drawing>
      </w:r>
    </w:p>
    <w:p>
      <w:pPr>
        <w:rPr>
          <w:rFonts w:ascii="Times New Roman" w:hAnsi="Times New Roman" w:eastAsia="Times New Roman" w:cs="Times New Roman"/>
          <w:i/>
          <w:iCs/>
          <w:sz w:val="24"/>
          <w:szCs w:val="24"/>
          <w:lang w:val="en-US"/>
        </w:rPr>
      </w:pPr>
      <w:r>
        <w:rPr>
          <w:rFonts w:ascii="Times New Roman" w:hAnsi="Times New Roman" w:eastAsia="Times New Roman" w:cs="Times New Roman"/>
          <w:b/>
          <w:bCs/>
          <w:sz w:val="24"/>
          <w:szCs w:val="24"/>
          <w:lang w:val="en-US"/>
        </w:rPr>
        <w:t>Fig. 1.</w:t>
      </w:r>
      <w:r>
        <w:rPr>
          <w:rFonts w:ascii="Times New Roman" w:hAnsi="Times New Roman" w:eastAsia="Times New Roman" w:cs="Times New Roman"/>
          <w:i/>
          <w:iCs/>
          <w:sz w:val="24"/>
          <w:szCs w:val="24"/>
          <w:lang w:val="en-US"/>
        </w:rPr>
        <w:t xml:space="preserve"> Scheme of the experimental design to assess group flight and calling coordination. Hypothetical artificial (a) and natural (b)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individuals from different natural groups (depicted by arrows from natural to artificial group bats) while simulated groups (c) were digitally created by combining flight trajectories and calling activities from those registered in natural groups (illustrated by the arrows from the trajectories and calls from natural to simulated groups).</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rPr>
      </w:pPr>
    </w:p>
    <w:p>
      <w:pPr>
        <w:rPr>
          <w:rFonts w:hint="default" w:ascii="Times New Roman" w:hAnsi="Times New Roman" w:eastAsia="Times New Roman" w:cs="Times New Roman"/>
          <w:sz w:val="24"/>
          <w:szCs w:val="24"/>
          <w:lang w:val="en-US"/>
        </w:rPr>
      </w:pPr>
    </w:p>
    <w:p>
      <w:pPr>
        <w:spacing w:before="240" w:after="240"/>
        <w:rPr>
          <w:rFonts w:ascii="Times New Roman" w:hAnsi="Times New Roman" w:eastAsia="Times New Roman" w:cs="Times New Roman"/>
          <w:b/>
          <w:bCs/>
          <w:i/>
          <w:iCs/>
          <w:sz w:val="24"/>
          <w:szCs w:val="24"/>
          <w:lang w:val="en-US"/>
        </w:rPr>
      </w:pPr>
      <w:r>
        <w:rPr>
          <w:rFonts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9"/>
                    <a:stretch>
                      <a:fillRect/>
                    </a:stretch>
                  </pic:blipFill>
                  <pic:spPr>
                    <a:xfrm>
                      <a:off x="0" y="0"/>
                      <a:ext cx="5941695" cy="2640965"/>
                    </a:xfrm>
                    <a:prstGeom prst="rect">
                      <a:avLst/>
                    </a:prstGeom>
                  </pic:spPr>
                </pic:pic>
              </a:graphicData>
            </a:graphic>
          </wp:inline>
        </w:drawing>
      </w:r>
      <w:r>
        <w:rPr>
          <w:rFonts w:ascii="Times New Roman" w:hAnsi="Times New Roman" w:eastAsia="Times New Roman" w:cs="Times New Roman"/>
          <w:b/>
          <w:bCs/>
          <w:i/>
          <w:iCs/>
          <w:sz w:val="24"/>
          <w:szCs w:val="24"/>
          <w:lang w:val="en-US"/>
        </w:rPr>
        <w:t xml:space="preserve">Fig. 2. </w:t>
      </w:r>
      <w:r>
        <w:rPr>
          <w:rFonts w:ascii="Times New Roman" w:hAnsi="Times New Roman" w:eastAsia="Times New Roman" w:cs="Times New Roman"/>
          <w:i/>
          <w:iCs/>
          <w:sz w:val="24"/>
          <w:szCs w:val="24"/>
          <w:lang w:val="en-US"/>
        </w:rPr>
        <w:t>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is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and individuals are shown underneath boxplots.</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Groups of Spix’s disc-winged bat face this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hAnsi="Times New Roman" w:eastAsia="Times New Roman" w:cs="Times New Roman"/>
          <w:i/>
          <w:iCs/>
          <w:sz w:val="24"/>
          <w:szCs w:val="24"/>
          <w:lang w:val="en-GB"/>
        </w:rPr>
        <w:t>Heliconia</w:t>
      </w:r>
      <w:r>
        <w:rPr>
          <w:rFonts w:ascii="Times New Roman" w:hAnsi="Times New Roman" w:eastAsia="Times New Roman" w:cs="Times New Roman"/>
          <w:sz w:val="24"/>
          <w:szCs w:val="24"/>
          <w:lang w:val="en-GB"/>
        </w:rPr>
        <w:t xml:space="preserve"> sp. or </w:t>
      </w:r>
      <w:r>
        <w:rPr>
          <w:rFonts w:ascii="Times New Roman" w:hAnsi="Times New Roman" w:eastAsia="Times New Roman" w:cs="Times New Roman"/>
          <w:i/>
          <w:iCs/>
          <w:sz w:val="24"/>
          <w:szCs w:val="24"/>
          <w:lang w:val="en-GB"/>
        </w:rPr>
        <w:t>Calathea lutea</w:t>
      </w:r>
      <w:r>
        <w:rPr>
          <w:rFonts w:ascii="Times New Roman" w:hAnsi="Times New Roman" w:eastAsia="Times New Roman" w:cs="Times New Roman"/>
          <w:sz w:val="24"/>
          <w:szCs w:val="24"/>
          <w:lang w:val="en-GB"/>
        </w:rPr>
        <w:t xml:space="preserve"> at random positions</w:t>
      </w:r>
      <w:r>
        <w:rPr>
          <w:rFonts w:ascii="Times New Roman" w:hAnsi="Times New Roman" w:eastAsia="Times New Roman" w:cs="Times New Roman"/>
          <w:sz w:val="24"/>
          <w:szCs w:val="24"/>
          <w:lang w:val="en-US"/>
        </w:rPr>
        <w:t xml:space="preserve"> (Figure 3</w:t>
      </w:r>
      <w:r>
        <w:rPr>
          <w:rFonts w:hint="default" w:ascii="Times New Roman" w:hAnsi="Times New Roman" w:eastAsia="Times New Roman" w:cs="Times New Roman"/>
          <w:sz w:val="24"/>
          <w:szCs w:val="24"/>
          <w:lang w:val="en-US"/>
        </w:rPr>
        <w:t xml:space="preserve"> a-c</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 i.e., had </w:t>
      </w:r>
      <w:r>
        <w:rPr>
          <w:rFonts w:ascii="Times New Roman" w:hAnsi="Times New Roman" w:eastAsia="Times New Roman" w:cs="Times New Roman"/>
          <w:sz w:val="24"/>
          <w:szCs w:val="24"/>
          <w:lang w:val="en-US"/>
        </w:rPr>
        <w:t>shorter</w:t>
      </w:r>
      <w:r>
        <w:rPr>
          <w:rFonts w:ascii="Times New Roman" w:hAnsi="Times New Roman" w:eastAsia="Times New Roman" w:cs="Times New Roman"/>
          <w:sz w:val="24"/>
          <w:szCs w:val="24"/>
          <w:lang w:val="en-GB"/>
        </w:rPr>
        <w:t xml:space="preserve"> intervals between bats entering the leaf — than artificial (unfamiliar) groups (Figure</w:t>
      </w:r>
      <w:r>
        <w:rPr>
          <w:rFonts w:hint="default" w:ascii="Times New Roman" w:hAnsi="Times New Roman" w:eastAsia="Times New Roman" w:cs="Times New Roman"/>
          <w:sz w:val="24"/>
          <w:szCs w:val="24"/>
          <w:lang w:val="en-US"/>
        </w:rPr>
        <w:t xml:space="preserve"> 3d</w:t>
      </w:r>
      <w:r>
        <w:rPr>
          <w:rFonts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ascii="Times New Roman" w:hAnsi="Times New Roman" w:eastAsia="Times New Roman" w:cs="Times New Roman"/>
          <w:sz w:val="24"/>
          <w:szCs w:val="24"/>
          <w:lang w:val="en-US"/>
        </w:rPr>
        <w:t xml:space="preserve">(Figure 3c) </w:t>
      </w:r>
      <w:r>
        <w:rPr>
          <w:rFonts w:ascii="Times New Roman" w:hAnsi="Times New Roman" w:eastAsia="Times New Roman" w:cs="Times New Roman"/>
          <w:sz w:val="24"/>
          <w:szCs w:val="24"/>
          <w:lang w:val="en-GB"/>
        </w:rPr>
        <w:t>to gain an insight into the size of the effect of familiarity relative to the benefits from grouping alone. We found that familiarity</w:t>
      </w:r>
      <w:r>
        <w:rPr>
          <w:rFonts w:ascii="Times New Roman" w:hAnsi="Times New Roman" w:eastAsia="Times New Roman" w:cs="Times New Roman"/>
          <w:sz w:val="24"/>
          <w:szCs w:val="24"/>
          <w:lang w:val="en-US"/>
        </w:rPr>
        <w:t xml:space="preserve"> reduced the time between successive entries to approximately one quarter </w:t>
      </w:r>
      <w:r>
        <w:rPr>
          <w:rFonts w:ascii="Times New Roman" w:hAnsi="Times New Roman" w:eastAsia="Times New Roman" w:cs="Times New Roman"/>
          <w:sz w:val="24"/>
          <w:szCs w:val="24"/>
          <w:lang w:val="en-GB"/>
        </w:rPr>
        <w:t>compared to these simulated groups (</w:t>
      </w:r>
      <w:r>
        <w:rPr>
          <w:rFonts w:ascii="Times New Roman" w:hAnsi="Times New Roman" w:eastAsia="Times New Roman" w:cs="Times New Roman"/>
          <w:sz w:val="24"/>
          <w:szCs w:val="24"/>
          <w:lang w:val="en-US"/>
        </w:rPr>
        <w:t xml:space="preserve">Figure </w:t>
      </w:r>
      <w:r>
        <w:rPr>
          <w:rFonts w:hint="default" w:ascii="Times New Roman" w:hAnsi="Times New Roman" w:eastAsia="Times New Roman" w:cs="Times New Roman"/>
          <w:sz w:val="24"/>
          <w:szCs w:val="24"/>
          <w:lang w:val="en-US"/>
        </w:rPr>
        <w:t>3d</w:t>
      </w:r>
      <w:r>
        <w:rPr>
          <w:rFonts w:ascii="Times New Roman" w:hAnsi="Times New Roman" w:eastAsia="Times New Roman" w:cs="Times New Roman"/>
          <w:sz w:val="24"/>
          <w:szCs w:val="24"/>
          <w:lang w:val="en-GB"/>
        </w:rPr>
        <w:t>). This confirms that coordination in this collective task is substantially greater when bats are familiar rather than unfamiliar.</w:t>
      </w:r>
    </w:p>
    <w:p>
      <w:pPr>
        <w:rPr>
          <w:rFonts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rPr>
      </w:pPr>
      <w:r>
        <w:rPr>
          <w:rFonts w:hint="default" w:ascii="Times New Roman" w:hAnsi="Times New Roman" w:eastAsia="Times New Roman" w:cs="Times New Roman"/>
          <w:sz w:val="24"/>
          <w:szCs w:val="24"/>
          <w:lang/>
        </w:rPr>
        <w:drawing>
          <wp:inline distT="0" distB="0" distL="114300" distR="114300">
            <wp:extent cx="5940425" cy="2193290"/>
            <wp:effectExtent l="0" t="0" r="3175" b="16510"/>
            <wp:docPr id="9" name="Picture 9"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oost_entry_coordination_2_panels"/>
                    <pic:cNvPicPr>
                      <a:picLocks noChangeAspect="1"/>
                    </pic:cNvPicPr>
                  </pic:nvPicPr>
                  <pic:blipFill>
                    <a:blip r:embed="rId10"/>
                    <a:stretch>
                      <a:fillRect/>
                    </a:stretch>
                  </pic:blipFill>
                  <pic:spPr>
                    <a:xfrm>
                      <a:off x="0" y="0"/>
                      <a:ext cx="5940425" cy="2193290"/>
                    </a:xfrm>
                    <a:prstGeom prst="rect">
                      <a:avLst/>
                    </a:prstGeom>
                  </pic:spPr>
                </pic:pic>
              </a:graphicData>
            </a:graphic>
          </wp:inline>
        </w:drawing>
      </w:r>
    </w:p>
    <w:p>
      <w:pPr>
        <w:rPr>
          <w:rFonts w:hint="default"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Fig. 3.</w:t>
      </w:r>
      <w:r>
        <w:rPr>
          <w:rFonts w:ascii="Times New Roman" w:hAnsi="Times New Roman" w:eastAsia="Times New Roman" w:cs="Times New Roman"/>
          <w:i/>
          <w:iCs/>
          <w:sz w:val="24"/>
          <w:szCs w:val="24"/>
          <w:lang w:val="en-US"/>
        </w:rPr>
        <w:t xml:space="preserve"> Scheme of the experimental design to assess roost entry synchrony.  Synchronization was quantified as the time lapse between successive individuals when entering the roost. Artificial groups (b) were composed by individuals from different natural groups (a) while simulated groups (c) were digitally created by combining entry times from single individual trials. </w:t>
      </w:r>
      <w:r>
        <w:rPr>
          <w:rFonts w:hint="default" w:ascii="Times New Roman" w:hAnsi="Times New Roman" w:eastAsia="Times New Roman" w:cs="Times New Roman"/>
          <w:i/>
          <w:iCs/>
          <w:sz w:val="24"/>
          <w:szCs w:val="24"/>
          <w:lang w:val="en-US"/>
        </w:rPr>
        <w:t xml:space="preserve">d) </w:t>
      </w:r>
      <w:r>
        <w:rPr>
          <w:rFonts w:ascii="Times New Roman" w:hAnsi="Times New Roman" w:eastAsia="Times New Roman" w:cs="Times New Roman"/>
          <w:i/>
          <w:iCs/>
          <w:sz w:val="24"/>
          <w:szCs w:val="24"/>
          <w:lang w:val="en-US"/>
        </w:rPr>
        <w:t>Raincloud plots showing the time difference (s) between successive individuals entering a roost.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with effect sizes and 95% uncertainty intervals expressed as percentage reductions in the time between successive entries. Sample sizes for groups and individuals are shown below each boxplot.</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and has been linked to increased familiarity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but make slower and less accurate decisions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ants deposit (and rely more on) pheromones in low-light conditions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P."}],"issued":{"date-parts":[["2019",10]]}}},{"id":23046,"uris":["http://zotero.org/users/10851648/items/RPN5JDY8"],"itemData":{"id":23046,"type":"thesis","event-place":"Bristol, England","genre":"Doctoral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a challenge for acoustic communication is it can easily suffer from information masking or signal jamming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{"citationID":"kFQy4U4Q","properties":{"formattedCitation":"({\\i{}39})","plainCitation":"(39)","noteIndex":0},"citationItems":[{"id":23049,"uris":["http://zotero.org/users/10851648/items/SZVGXB26"],"itemData":{"id":23049,"type":"article-journal","abstract":"To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This ‘cocktail party effect’</w:t>
      </w:r>
      <w:commentRangeStart w:id="0"/>
      <w:r>
        <w:rPr>
          <w:rFonts w:ascii="Times New Roman" w:hAnsi="Times New Roman" w:eastAsia="Times New Roman" w:cs="Times New Roman"/>
          <w:sz w:val="24"/>
          <w:szCs w:val="24"/>
          <w:lang w:val="en-GB"/>
        </w:rPr>
        <w:t xml:space="preserve"> </w:t>
      </w:r>
      <w:commentRangeEnd w:id="0"/>
      <w:r>
        <w:rPr>
          <w:rStyle w:val="11"/>
        </w:rPr>
        <w:commentReference w:id="0"/>
      </w:r>
      <w:r>
        <w:rPr>
          <w:rFonts w:ascii="Times New Roman" w:hAnsi="Times New Roman" w:eastAsia="Times New Roman" w:cs="Times New Roman"/>
          <w:sz w:val="24"/>
          <w:szCs w:val="24"/>
          <w:lang w:val="en-GB"/>
        </w:rPr>
        <w:t xml:space="preserve">arises when many individuals are trying to vocalise simultaneously.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Mitigating the cocktail party effect requires coordinating the delivery of inquiry calls to minimize temporal overlap while maintaining a constant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hint="default" w:ascii="Times New Roman" w:hAnsi="Times New Roman" w:eastAsia="Times New Roman" w:cs="Times New Roman"/>
          <w:sz w:val="24"/>
          <w:szCs w:val="24"/>
          <w:lang/>
        </w:rPr>
        <w:t>natural</w:t>
      </w:r>
      <w:r>
        <w:rPr>
          <w:rFonts w:ascii="Times New Roman" w:hAnsi="Times New Roman" w:eastAsia="Times New Roman" w:cs="Times New Roman"/>
          <w:sz w:val="24"/>
          <w:szCs w:val="24"/>
          <w:lang w:val="en-GB"/>
        </w:rPr>
        <w:t xml:space="preserve"> versus </w:t>
      </w:r>
      <w:r>
        <w:rPr>
          <w:rFonts w:hint="default" w:ascii="Times New Roman" w:hAnsi="Times New Roman" w:eastAsia="Times New Roman" w:cs="Times New Roman"/>
          <w:sz w:val="24"/>
          <w:szCs w:val="24"/>
          <w:lang/>
        </w:rPr>
        <w:t xml:space="preserve">artificial </w:t>
      </w:r>
      <w:r>
        <w:rPr>
          <w:rFonts w:ascii="Times New Roman" w:hAnsi="Times New Roman" w:eastAsia="Times New Roman" w:cs="Times New Roman"/>
          <w:sz w:val="24"/>
          <w:szCs w:val="24"/>
          <w:lang w:val="en-GB"/>
        </w:rPr>
        <w:t>groups. Both natural and artificial groups experienced less call overlap than expected by chance (simulated groups created by combining solitary flights</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GB"/>
        </w:rPr>
        <w:t>Fig</w:t>
      </w:r>
      <w:r>
        <w:rPr>
          <w:rFonts w:ascii="Times New Roman" w:hAnsi="Times New Roman" w:eastAsia="Times New Roman" w:cs="Times New Roman"/>
          <w:sz w:val="24"/>
          <w:szCs w:val="24"/>
          <w:lang w:val="en-US"/>
        </w:rPr>
        <w:t xml:space="preserve">ure </w:t>
      </w: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lang w:val="en-US"/>
        </w:rPr>
        <w:t>a</w:t>
      </w:r>
      <w:r>
        <w:rPr>
          <w:rFonts w:ascii="Times New Roman" w:hAnsi="Times New Roman" w:eastAsia="Times New Roman" w:cs="Times New Roman"/>
          <w:sz w:val="24"/>
          <w:szCs w:val="24"/>
          <w:lang w:val="en-GB"/>
        </w:rPr>
        <w:t>), indicating active avoidance of signal jamming at the group level. This seems to be achieved by adjusting calling rates at the individual level, as call rates per bat during group flights were lower than those in solo flights (Fig</w:t>
      </w:r>
      <w:r>
        <w:rPr>
          <w:rFonts w:ascii="Times New Roman" w:hAnsi="Times New Roman" w:eastAsia="Times New Roman" w:cs="Times New Roman"/>
          <w:sz w:val="24"/>
          <w:szCs w:val="24"/>
          <w:lang w:val="en-US"/>
        </w:rPr>
        <w:t xml:space="preserve">ure </w:t>
      </w: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lang w:val="en-US"/>
        </w:rPr>
        <w:t>b</w:t>
      </w:r>
      <w:r>
        <w:rPr>
          <w:rFonts w:ascii="Times New Roman" w:hAnsi="Times New Roman" w:eastAsia="Times New Roman" w:cs="Times New Roman"/>
          <w:sz w:val="24"/>
          <w:szCs w:val="24"/>
          <w:lang w:val="en-GB"/>
        </w:rPr>
        <w:t xml:space="preserve">). However, group-level call rates in natural groups were significantly higher than </w:t>
      </w:r>
      <w:r>
        <w:rPr>
          <w:rFonts w:ascii="Times New Roman" w:hAnsi="Times New Roman" w:eastAsia="Times New Roman" w:cs="Times New Roman"/>
          <w:sz w:val="24"/>
          <w:szCs w:val="24"/>
          <w:lang w:val="en-US"/>
        </w:rPr>
        <w:t xml:space="preserve">in </w:t>
      </w:r>
      <w:r>
        <w:rPr>
          <w:rFonts w:ascii="Times New Roman" w:hAnsi="Times New Roman" w:eastAsia="Times New Roman" w:cs="Times New Roman"/>
          <w:sz w:val="24"/>
          <w:szCs w:val="24"/>
          <w:lang w:val="en-GB"/>
        </w:rPr>
        <w:t>artificial groups (and similar to those of solitary individuals, Fig</w:t>
      </w:r>
      <w:r>
        <w:rPr>
          <w:rFonts w:hint="default" w:ascii="Times New Roman" w:hAnsi="Times New Roman" w:eastAsia="Times New Roman" w:cs="Times New Roman"/>
          <w:sz w:val="24"/>
          <w:szCs w:val="24"/>
          <w:lang w:val="en-US"/>
        </w:rPr>
        <w:t>ure</w:t>
      </w:r>
      <w:r>
        <w:rPr>
          <w:rFonts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lang w:val="en-US"/>
        </w:rPr>
        <w:t>c</w:t>
      </w:r>
      <w:r>
        <w:rPr>
          <w:rFonts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p>
    <w:p>
      <w:pPr>
        <w:rPr>
          <w:rFonts w:hint="default" w:ascii="Times New Roman" w:hAnsi="Times New Roman" w:eastAsia="Times New Roman" w:cs="Times New Roman"/>
          <w:i/>
          <w:iCs/>
          <w:sz w:val="24"/>
          <w:szCs w:val="24"/>
          <w:lang/>
        </w:rPr>
      </w:pPr>
      <w:r>
        <w:rPr>
          <w:rFonts w:hint="default" w:ascii="Times New Roman" w:hAnsi="Times New Roman" w:eastAsia="Times New Roman" w:cs="Times New Roman"/>
          <w:i/>
          <w:iCs/>
          <w:sz w:val="24"/>
          <w:szCs w:val="24"/>
          <w:lang/>
        </w:rPr>
        <w:drawing>
          <wp:inline distT="0" distB="0" distL="114300" distR="114300">
            <wp:extent cx="5486400" cy="7315200"/>
            <wp:effectExtent l="0" t="0" r="0" b="0"/>
            <wp:docPr id="8" name="Picture 8" descr="vocal_coordination_3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ocal_coordination_3_panels"/>
                    <pic:cNvPicPr>
                      <a:picLocks noChangeAspect="1"/>
                    </pic:cNvPicPr>
                  </pic:nvPicPr>
                  <pic:blipFill>
                    <a:blip r:embed="rId11"/>
                    <a:stretch>
                      <a:fillRect/>
                    </a:stretch>
                  </pic:blipFill>
                  <pic:spPr>
                    <a:xfrm>
                      <a:off x="0" y="0"/>
                      <a:ext cx="5486400" cy="7315200"/>
                    </a:xfrm>
                    <a:prstGeom prst="rect">
                      <a:avLst/>
                    </a:prstGeom>
                  </pic:spPr>
                </pic:pic>
              </a:graphicData>
            </a:graphic>
          </wp:inline>
        </w:drawing>
      </w:r>
    </w:p>
    <w:p>
      <w:pPr>
        <w:rPr>
          <w:rFonts w:ascii="Times New Roman" w:hAnsi="Times New Roman" w:eastAsia="Times New Roman" w:cs="Times New Roman"/>
          <w:i/>
          <w:iCs/>
          <w:sz w:val="24"/>
          <w:szCs w:val="24"/>
          <w:lang w:val="en-GB"/>
        </w:rPr>
      </w:pPr>
      <w:bookmarkStart w:id="0" w:name="_GoBack"/>
      <w:r>
        <w:rPr>
          <w:rFonts w:ascii="Times New Roman" w:hAnsi="Times New Roman" w:eastAsia="Times New Roman" w:cs="Times New Roman"/>
          <w:i/>
          <w:iCs/>
          <w:sz w:val="24"/>
          <w:szCs w:val="24"/>
          <w:lang w:val="en-GB"/>
        </w:rPr>
        <w:t xml:space="preserve">Fig. </w:t>
      </w:r>
      <w:r>
        <w:rPr>
          <w:rFonts w:hint="default" w:ascii="Times New Roman" w:hAnsi="Times New Roman" w:eastAsia="Times New Roman" w:cs="Times New Roman"/>
          <w:i/>
          <w:iCs/>
          <w:sz w:val="24"/>
          <w:szCs w:val="24"/>
          <w:lang w:val="en-US"/>
        </w:rPr>
        <w:t>4</w:t>
      </w:r>
      <w:r>
        <w:rPr>
          <w:rFonts w:ascii="Times New Roman" w:hAnsi="Times New Roman" w:eastAsia="Times New Roman" w:cs="Times New Roman"/>
          <w:i/>
          <w:iCs/>
          <w:sz w:val="24"/>
          <w:szCs w:val="24"/>
          <w:lang w:val="en-GB"/>
        </w:rPr>
        <w:t xml:space="preserve">. </w:t>
      </w:r>
      <w:r>
        <w:rPr>
          <w:rFonts w:ascii="Times New Roman" w:hAnsi="Times New Roman" w:eastAsia="Times New Roman" w:cs="Times New Roman"/>
          <w:i/>
          <w:iCs/>
          <w:sz w:val="24"/>
          <w:szCs w:val="24"/>
          <w:lang w:val="en-US"/>
        </w:rPr>
        <w:t>Vocal coordination and familiarity. a</w:t>
      </w:r>
      <w:r>
        <w:rPr>
          <w:rFonts w:ascii="Times New Roman" w:hAnsi="Times New Roman" w:eastAsia="Times New Roman" w:cs="Times New Roman"/>
          <w:i/>
          <w:iCs/>
          <w:sz w:val="24"/>
          <w:szCs w:val="24"/>
          <w:lang w:val="en-GB"/>
        </w:rPr>
        <w:t>) Average number of inquiry call overlaps in group flights. Simulated values were obtained from 1000 iterations of a custom routine that combined single individual calling data from solo flights.</w:t>
      </w:r>
      <w:r>
        <w:rPr>
          <w:rFonts w:hint="default" w:ascii="Times New Roman" w:hAnsi="Times New Roman" w:eastAsia="Times New Roman" w:cs="Times New Roman"/>
          <w:i/>
          <w:iCs/>
          <w:sz w:val="24"/>
          <w:szCs w:val="24"/>
          <w:lang w:val="en-US"/>
        </w:rPr>
        <w:t xml:space="preserve"> b</w:t>
      </w:r>
      <w:r>
        <w:rPr>
          <w:rFonts w:ascii="Times New Roman" w:hAnsi="Times New Roman" w:eastAsia="Times New Roman" w:cs="Times New Roman"/>
          <w:i/>
          <w:iCs/>
          <w:sz w:val="24"/>
          <w:szCs w:val="24"/>
          <w:lang w:val="en-GB"/>
        </w:rPr>
        <w:t xml:space="preserve">) Individual inquiry call rate for individuals in solo flights vs call rates of individuals in natural and artificial groups. </w:t>
      </w:r>
      <w:r>
        <w:rPr>
          <w:rFonts w:hint="default" w:ascii="Times New Roman" w:hAnsi="Times New Roman" w:eastAsia="Times New Roman" w:cs="Times New Roman"/>
          <w:i/>
          <w:iCs/>
          <w:sz w:val="24"/>
          <w:szCs w:val="24"/>
          <w:lang w:val="en-US"/>
        </w:rPr>
        <w:t>c</w:t>
      </w:r>
      <w:r>
        <w:rPr>
          <w:rFonts w:ascii="Times New Roman" w:hAnsi="Times New Roman" w:eastAsia="Times New Roman" w:cs="Times New Roman"/>
          <w:i/>
          <w:iCs/>
          <w:sz w:val="24"/>
          <w:szCs w:val="24"/>
          <w:lang w:val="en-GB"/>
        </w:rPr>
        <w:t xml:space="preserve">) Individual inquiry call rate for single individuals in solo flights vs group level call rates from natural and artificial groups. Data in </w:t>
      </w:r>
      <w:r>
        <w:rPr>
          <w:rFonts w:hint="default" w:ascii="Times New Roman" w:hAnsi="Times New Roman" w:eastAsia="Times New Roman" w:cs="Times New Roman"/>
          <w:i/>
          <w:iCs/>
          <w:sz w:val="24"/>
          <w:szCs w:val="24"/>
          <w:lang w:val="en-US"/>
        </w:rPr>
        <w:t>b</w:t>
      </w:r>
      <w:r>
        <w:rPr>
          <w:rFonts w:ascii="Times New Roman" w:hAnsi="Times New Roman" w:eastAsia="Times New Roman" w:cs="Times New Roman"/>
          <w:i/>
          <w:iCs/>
          <w:sz w:val="24"/>
          <w:szCs w:val="24"/>
          <w:lang w:val="en-GB"/>
        </w:rPr>
        <w:t xml:space="preserve">) and </w:t>
      </w:r>
      <w:r>
        <w:rPr>
          <w:rFonts w:hint="default" w:ascii="Times New Roman" w:hAnsi="Times New Roman" w:eastAsia="Times New Roman" w:cs="Times New Roman"/>
          <w:i/>
          <w:iCs/>
          <w:sz w:val="24"/>
          <w:szCs w:val="24"/>
          <w:lang w:val="en-US"/>
        </w:rPr>
        <w:t>c</w:t>
      </w:r>
      <w:r>
        <w:rPr>
          <w:rFonts w:ascii="Times New Roman" w:hAnsi="Times New Roman" w:eastAsia="Times New Roman" w:cs="Times New Roman"/>
          <w:i/>
          <w:iCs/>
          <w:sz w:val="24"/>
          <w:szCs w:val="24"/>
          <w:lang w:val="en-GB"/>
        </w:rPr>
        <w:t>) is shown as raincloud plots of raw data points, boxplots (median, interquartile range and overall range) and half violin plots. Brackets above boxplots indicate statistically detectable differences with effect size and 95% uncertainty intervals as multiplicative differences in calling rate. Sample sizes for groups and individuals are shown underneath boxplots. Yellow points show the mean call rate per group with their distribution represented by overlaid yellow boxplots.</w:t>
      </w:r>
    </w:p>
    <w:bookmarkEnd w:id="0"/>
    <w:p>
      <w:pPr>
        <w:rPr>
          <w:rFonts w:ascii="Times New Roman" w:hAnsi="Times New Roman" w:eastAsia="Times New Roman" w:cs="Times New Roman"/>
          <w:sz w:val="24"/>
          <w:szCs w:val="24"/>
          <w:lang w:val="en-GB"/>
        </w:rPr>
      </w:pPr>
      <w:r>
        <w:rPr>
          <w:rFonts w:ascii="Times New Roman" w:hAnsi="Times New Roman" w:eastAsia="Times New Roman" w:cs="Times New Roman"/>
          <w:i/>
          <w:iCs/>
          <w:sz w:val="24"/>
          <w:szCs w:val="24"/>
          <w:lang w:val="en-GB"/>
        </w:rPr>
        <w:t xml:space="preserve"> </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{"citationID":"VQEEz6k8","properties":{"formattedCitation":"({\\i{}40}, {\\i{}41})","plainCitation":"(40, 41)","noteIndex":0},"citationItems":[{"id":23050,"uris":["http://zotero.org/users/10851648/items/YD9UT96B"],"itemData":{"id":23050,"type":"article-journal","abstract":"In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 xml:space="preserve">, </w:t>
      </w:r>
      <w:r>
        <w:rPr>
          <w:rFonts w:ascii="Times New Roman" w:hAnsi="Times New Roman" w:cs="Times New Roman"/>
          <w:i/>
          <w:iCs/>
          <w:sz w:val="24"/>
          <w:lang w:val="en-US"/>
        </w:rPr>
        <w:t>41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{"citationID":"tRyJa7N4","properties":{"formattedCitation":"({\\i{}40}, {\\i{}42}\\uc0\\u8211{}{\\i{}45})","plainCitation":"(40, 42–45)","noteIndex":0},"citationItems":[{"id":23050,"uris":["http://zotero.org/users/10851648/items/YD9UT96B"],"itemData":{"id":23050,"type":"article-journal","abstract":"In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40</w:t>
      </w:r>
      <w:r>
        <w:rPr>
          <w:rFonts w:ascii="Times New Roman" w:hAnsi="Times New Roman" w:cs="Times New Roman"/>
          <w:sz w:val="24"/>
        </w:rPr>
        <w:t xml:space="preserve">, </w:t>
      </w:r>
      <w:r>
        <w:rPr>
          <w:rFonts w:ascii="Times New Roman" w:hAnsi="Times New Roman" w:cs="Times New Roman"/>
          <w:i/>
          <w:iCs/>
          <w:sz w:val="24"/>
        </w:rPr>
        <w:t>42</w:t>
      </w:r>
      <w:r>
        <w:rPr>
          <w:rFonts w:ascii="Times New Roman" w:hAnsi="Times New Roman" w:cs="Times New Roman"/>
          <w:sz w:val="24"/>
        </w:rPr>
        <w:t>–</w:t>
      </w:r>
      <w:r>
        <w:rPr>
          <w:rFonts w:ascii="Times New Roman" w:hAnsi="Times New Roman" w:cs="Times New Roman"/>
          <w:i/>
          <w:iCs/>
          <w:sz w:val="24"/>
        </w:rPr>
        <w:t>45</w:t>
      </w:r>
      <w:r>
        <w:rPr>
          <w:rFonts w:ascii="Times New Roman" w:hAnsi="Times New Roman" w:cs="Times New Roman"/>
          <w:sz w:val="24"/>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through to migration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OYWrB1C","properties":{"formattedCitation":"({\\i{}46}\\uc0\\u8211{}{\\i{}48})","plainCitation":"(46–48)","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46</w:t>
      </w:r>
      <w:r>
        <w:rPr>
          <w:rFonts w:ascii="Times New Roman" w:hAnsi="Times New Roman" w:cs="Times New Roman"/>
          <w:sz w:val="24"/>
          <w:lang w:val="en-US"/>
        </w:rPr>
        <w:t>–</w:t>
      </w:r>
      <w:r>
        <w:rPr>
          <w:rFonts w:ascii="Times New Roman" w:hAnsi="Times New Roman" w:cs="Times New Roman"/>
          <w:i/>
          <w:iCs/>
          <w:sz w:val="24"/>
          <w:lang w:val="en-US"/>
        </w:rPr>
        <w:t>48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that are frequently undertaken in familiar groups. </w:t>
      </w:r>
      <w:r>
        <w:rPr>
          <w:rFonts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References</w:t>
      </w:r>
    </w:p>
    <w:p>
      <w:pPr>
        <w:rPr>
          <w:rFonts w:ascii="Times New Roman" w:hAnsi="Times New Roman" w:eastAsia="Times New Roman" w:cs="Times New Roman"/>
          <w:sz w:val="24"/>
          <w:szCs w:val="24"/>
          <w:lang w:val="zh-CN"/>
        </w:rPr>
      </w:pPr>
    </w:p>
    <w:p>
      <w:pPr>
        <w:pStyle w:val="23"/>
        <w:rPr>
          <w:rFonts w:ascii="Times New Roman" w:hAnsi="Times New Roman" w:cs="Times New Roman"/>
          <w:lang w:val="en-US"/>
        </w:rPr>
      </w:pPr>
      <w:r>
        <w:rPr>
          <w:lang w:val="en-GB"/>
        </w:rPr>
        <w:fldChar w:fldCharType="begin"/>
      </w:r>
      <w:r>
        <w:rPr>
          <w:lang w:val="zh-CN"/>
        </w:rPr>
        <w:instrText xml:space="preserve"> ADDIN ZOTERO_BIBL {"uncited":[],"omitted":[],"custom":[]} CSL_BIBLIOGRAPHY </w:instrText>
      </w:r>
      <w:r>
        <w:rPr>
          <w:lang w:val="en-GB"/>
        </w:rPr>
        <w:fldChar w:fldCharType="separate"/>
      </w:r>
      <w:r>
        <w:rPr>
          <w:rFonts w:ascii="Times New Roman" w:hAnsi="Times New Roman" w:cs="Times New Roman"/>
        </w:rPr>
        <w:t xml:space="preserve">1. </w:t>
      </w:r>
      <w:r>
        <w:rPr>
          <w:rFonts w:ascii="Times New Roman" w:hAnsi="Times New Roman" w:cs="Times New Roman"/>
        </w:rPr>
        <w:tab/>
      </w:r>
      <w:r>
        <w:rPr>
          <w:rFonts w:ascii="Times New Roman" w:hAnsi="Times New Roman" w:cs="Times New Roman"/>
        </w:rPr>
        <w:t xml:space="preserve">C. R. Reid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pPr>
        <w:pStyle w:val="23"/>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r>
      <w:r>
        <w:rPr>
          <w:rFonts w:ascii="Times New Roman" w:hAnsi="Times New Roman" w:cs="Times New Roman"/>
          <w:lang w:val="en-US"/>
        </w:rPr>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pPr>
        <w:pStyle w:val="23"/>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lang w:val="en-US"/>
        </w:rPr>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pPr>
        <w:pStyle w:val="23"/>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r>
      <w:r>
        <w:rPr>
          <w:rFonts w:ascii="Times New Roman" w:hAnsi="Times New Roman" w:cs="Times New Roman"/>
          <w:lang w:val="en-US"/>
        </w:rPr>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pPr>
        <w:pStyle w:val="23"/>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r>
      <w:r>
        <w:rPr>
          <w:rFonts w:ascii="Times New Roman" w:hAnsi="Times New Roman" w:cs="Times New Roman"/>
          <w:lang w:val="en-US"/>
        </w:rPr>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pPr>
        <w:pStyle w:val="23"/>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r>
      <w:r>
        <w:rPr>
          <w:rFonts w:ascii="Times New Roman" w:hAnsi="Times New Roman" w:cs="Times New Roman"/>
          <w:lang w:val="en-US"/>
        </w:rPr>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pPr>
        <w:pStyle w:val="23"/>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r>
      <w:r>
        <w:rPr>
          <w:rFonts w:ascii="Times New Roman" w:hAnsi="Times New Roman" w:cs="Times New Roman"/>
          <w:lang w:val="en-US"/>
        </w:rPr>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pPr>
        <w:pStyle w:val="23"/>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r>
      <w:r>
        <w:rPr>
          <w:rFonts w:ascii="Times New Roman" w:hAnsi="Times New Roman" w:cs="Times New Roman"/>
          <w:lang w:val="en-US"/>
        </w:rPr>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pPr>
        <w:pStyle w:val="23"/>
        <w:rPr>
          <w:rFonts w:ascii="Times New Roman" w:hAnsi="Times New Roman" w:cs="Times New Roman"/>
          <w:lang w:val="en-US"/>
        </w:rPr>
      </w:pPr>
      <w:r>
        <w:rPr>
          <w:rFonts w:ascii="Times New Roman" w:hAnsi="Times New Roman" w:cs="Times New Roman"/>
          <w:lang w:val="en-US"/>
        </w:rPr>
        <w:t xml:space="preserve">9. </w:t>
      </w:r>
      <w:r>
        <w:rPr>
          <w:rFonts w:ascii="Times New Roman" w:hAnsi="Times New Roman" w:cs="Times New Roman"/>
          <w:lang w:val="en-US"/>
        </w:rPr>
        <w:tab/>
      </w:r>
      <w:r>
        <w:rPr>
          <w:rFonts w:ascii="Times New Roman" w:hAnsi="Times New Roman" w:cs="Times New Roman"/>
          <w:lang w:val="en-US"/>
        </w:rPr>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pPr>
        <w:pStyle w:val="23"/>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r>
      <w:r>
        <w:rPr>
          <w:rFonts w:ascii="Times New Roman" w:hAnsi="Times New Roman" w:cs="Times New Roman"/>
          <w:lang w:val="en-US"/>
        </w:rPr>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pPr>
        <w:pStyle w:val="23"/>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r>
      <w:r>
        <w:rPr>
          <w:rFonts w:ascii="Times New Roman" w:hAnsi="Times New Roman" w:cs="Times New Roman"/>
          <w:lang w:val="en-US"/>
        </w:rPr>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pPr>
        <w:pStyle w:val="23"/>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r>
      <w:r>
        <w:rPr>
          <w:rFonts w:ascii="Times New Roman" w:hAnsi="Times New Roman" w:cs="Times New Roman"/>
          <w:lang w:val="en-US"/>
        </w:rPr>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pPr>
        <w:pStyle w:val="23"/>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r>
      <w:r>
        <w:rPr>
          <w:rFonts w:ascii="Times New Roman" w:hAnsi="Times New Roman" w:cs="Times New Roman"/>
          <w:lang w:val="en-US"/>
        </w:rPr>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pPr>
        <w:pStyle w:val="23"/>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r>
      <w:r>
        <w:rPr>
          <w:rFonts w:ascii="Times New Roman" w:hAnsi="Times New Roman" w:cs="Times New Roman"/>
          <w:lang w:val="en-US"/>
        </w:rPr>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pPr>
        <w:pStyle w:val="23"/>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r>
      <w:r>
        <w:rPr>
          <w:rFonts w:ascii="Times New Roman" w:hAnsi="Times New Roman" w:cs="Times New Roman"/>
          <w:lang w:val="en-US"/>
        </w:rPr>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pPr>
        <w:pStyle w:val="23"/>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r>
      <w:r>
        <w:rPr>
          <w:rFonts w:ascii="Times New Roman" w:hAnsi="Times New Roman" w:cs="Times New Roman"/>
          <w:lang w:val="en-US"/>
        </w:rPr>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pPr>
        <w:pStyle w:val="23"/>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r>
      <w:r>
        <w:rPr>
          <w:rFonts w:ascii="Times New Roman" w:hAnsi="Times New Roman" w:cs="Times New Roman"/>
          <w:lang w:val="en-US"/>
        </w:rPr>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pPr>
        <w:pStyle w:val="23"/>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r>
      <w:r>
        <w:rPr>
          <w:rFonts w:ascii="Times New Roman" w:hAnsi="Times New Roman" w:cs="Times New Roman"/>
          <w:lang w:val="en-US"/>
        </w:rPr>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pPr>
        <w:pStyle w:val="23"/>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r>
      <w:r>
        <w:rPr>
          <w:rFonts w:ascii="Times New Roman" w:hAnsi="Times New Roman" w:cs="Times New Roman"/>
          <w:lang w:val="en-US"/>
        </w:rPr>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pPr>
        <w:pStyle w:val="23"/>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r>
      <w:r>
        <w:rPr>
          <w:rFonts w:ascii="Times New Roman" w:hAnsi="Times New Roman" w:cs="Times New Roman"/>
          <w:lang w:val="en-US"/>
        </w:rPr>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pPr>
        <w:pStyle w:val="23"/>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r>
      <w:r>
        <w:rPr>
          <w:rFonts w:ascii="Times New Roman" w:hAnsi="Times New Roman" w:cs="Times New Roman"/>
          <w:lang w:val="en-US"/>
        </w:rPr>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pPr>
        <w:pStyle w:val="23"/>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r>
      <w:r>
        <w:rPr>
          <w:rFonts w:ascii="Times New Roman" w:hAnsi="Times New Roman" w:cs="Times New Roman"/>
          <w:lang w:val="en-US"/>
        </w:rPr>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pPr>
        <w:pStyle w:val="23"/>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r>
      <w:r>
        <w:rPr>
          <w:rFonts w:ascii="Times New Roman" w:hAnsi="Times New Roman" w:cs="Times New Roman"/>
          <w:lang w:val="en-US"/>
        </w:rPr>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pPr>
        <w:pStyle w:val="23"/>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r>
      <w:r>
        <w:rPr>
          <w:rFonts w:ascii="Times New Roman" w:hAnsi="Times New Roman" w:cs="Times New Roman"/>
          <w:lang w:val="en-US"/>
        </w:rPr>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pPr>
        <w:pStyle w:val="23"/>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r>
      <w:r>
        <w:rPr>
          <w:rFonts w:ascii="Times New Roman" w:hAnsi="Times New Roman" w:cs="Times New Roman"/>
          <w:lang w:val="en-US"/>
        </w:rPr>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pPr>
        <w:pStyle w:val="23"/>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r>
      <w:r>
        <w:rPr>
          <w:rFonts w:ascii="Times New Roman" w:hAnsi="Times New Roman" w:cs="Times New Roman"/>
          <w:lang w:val="en-US"/>
        </w:rPr>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pPr>
        <w:pStyle w:val="23"/>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r>
      <w:r>
        <w:rPr>
          <w:rFonts w:ascii="Times New Roman" w:hAnsi="Times New Roman" w:cs="Times New Roman"/>
          <w:lang w:val="en-US"/>
        </w:rPr>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pPr>
        <w:pStyle w:val="23"/>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r>
      <w:r>
        <w:rPr>
          <w:rFonts w:ascii="Times New Roman" w:hAnsi="Times New Roman" w:cs="Times New Roman"/>
          <w:lang w:val="en-US"/>
        </w:rPr>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pPr>
        <w:pStyle w:val="23"/>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r>
      <w:r>
        <w:rPr>
          <w:rFonts w:ascii="Times New Roman" w:hAnsi="Times New Roman" w:cs="Times New Roman"/>
          <w:lang w:val="en-US"/>
        </w:rPr>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pPr>
        <w:pStyle w:val="23"/>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r>
      <w:r>
        <w:rPr>
          <w:rFonts w:ascii="Times New Roman" w:hAnsi="Times New Roman" w:cs="Times New Roman"/>
          <w:lang w:val="en-US"/>
        </w:rPr>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pPr>
        <w:pStyle w:val="23"/>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r>
      <w:r>
        <w:rPr>
          <w:rFonts w:ascii="Times New Roman" w:hAnsi="Times New Roman" w:cs="Times New Roman"/>
          <w:lang w:val="en-US"/>
        </w:rPr>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pPr>
        <w:pStyle w:val="23"/>
        <w:rPr>
          <w:rFonts w:ascii="Times New Roman" w:hAnsi="Times New Roman" w:cs="Times New Roman"/>
          <w:lang w:val="en-US"/>
        </w:rPr>
      </w:pPr>
      <w:r>
        <w:rPr>
          <w:rFonts w:ascii="Times New Roman" w:hAnsi="Times New Roman" w:cs="Times New Roman"/>
          <w:lang w:val="en-US"/>
        </w:rPr>
        <w:t xml:space="preserve">32. </w:t>
      </w:r>
      <w:r>
        <w:rPr>
          <w:rFonts w:ascii="Times New Roman" w:hAnsi="Times New Roman" w:cs="Times New Roman"/>
          <w:lang w:val="en-US"/>
        </w:rPr>
        <w:tab/>
      </w:r>
      <w:r>
        <w:rPr>
          <w:rFonts w:ascii="Times New Roman" w:hAnsi="Times New Roman" w:cs="Times New Roman"/>
          <w:lang w:val="en-US"/>
        </w:rPr>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pPr>
        <w:pStyle w:val="23"/>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r>
      <w:r>
        <w:rPr>
          <w:rFonts w:ascii="Times New Roman" w:hAnsi="Times New Roman" w:cs="Times New Roman"/>
          <w:lang w:val="en-US"/>
        </w:rPr>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pPr>
        <w:pStyle w:val="23"/>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r>
      <w:r>
        <w:rPr>
          <w:rFonts w:ascii="Times New Roman" w:hAnsi="Times New Roman" w:cs="Times New Roman"/>
          <w:lang w:val="en-US"/>
        </w:rPr>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pPr>
        <w:pStyle w:val="23"/>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r>
      <w:r>
        <w:rPr>
          <w:rFonts w:ascii="Times New Roman" w:hAnsi="Times New Roman" w:cs="Times New Roman"/>
          <w:lang w:val="en-US"/>
        </w:rPr>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pPr>
        <w:pStyle w:val="23"/>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r>
      <w:r>
        <w:rPr>
          <w:rFonts w:ascii="Times New Roman" w:hAnsi="Times New Roman" w:cs="Times New Roman"/>
          <w:lang w:val="en-US"/>
        </w:rPr>
        <w:t>J. R. Attwell, thesis, University of Bristol, Bristol, England (2023).</w:t>
      </w:r>
    </w:p>
    <w:p>
      <w:pPr>
        <w:pStyle w:val="23"/>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r>
      <w:r>
        <w:rPr>
          <w:rFonts w:ascii="Times New Roman" w:hAnsi="Times New Roman" w:cs="Times New Roman"/>
          <w:lang w:val="en-US"/>
        </w:rPr>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pPr>
        <w:pStyle w:val="23"/>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r>
      <w:r>
        <w:rPr>
          <w:rFonts w:ascii="Times New Roman" w:hAnsi="Times New Roman" w:cs="Times New Roman"/>
          <w:lang w:val="en-US"/>
        </w:rPr>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pPr>
        <w:pStyle w:val="23"/>
        <w:rPr>
          <w:rFonts w:ascii="Times New Roman" w:hAnsi="Times New Roman" w:cs="Times New Roman"/>
          <w:lang w:val="de-DE"/>
        </w:rPr>
      </w:pPr>
      <w:r>
        <w:rPr>
          <w:rFonts w:ascii="Times New Roman" w:hAnsi="Times New Roman" w:cs="Times New Roman"/>
          <w:lang w:val="en-US"/>
        </w:rPr>
        <w:t xml:space="preserve">39.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 xml:space="preserve">Phil. </w:t>
      </w:r>
      <w:r>
        <w:rPr>
          <w:rFonts w:ascii="Times New Roman" w:hAnsi="Times New Roman" w:cs="Times New Roman"/>
          <w:i/>
          <w:iCs/>
          <w:lang w:val="de-DE"/>
        </w:rPr>
        <w:t>Trans. R. Soc. B</w:t>
      </w:r>
      <w:r>
        <w:rPr>
          <w:rFonts w:ascii="Times New Roman" w:hAnsi="Times New Roman" w:cs="Times New Roman"/>
          <w:lang w:val="de-DE"/>
        </w:rPr>
        <w:t xml:space="preserve">. </w:t>
      </w:r>
      <w:r>
        <w:rPr>
          <w:rFonts w:ascii="Times New Roman" w:hAnsi="Times New Roman" w:cs="Times New Roman"/>
          <w:b/>
          <w:bCs/>
          <w:lang w:val="de-DE"/>
        </w:rPr>
        <w:t>379</w:t>
      </w:r>
      <w:r>
        <w:rPr>
          <w:rFonts w:ascii="Times New Roman" w:hAnsi="Times New Roman" w:cs="Times New Roman"/>
          <w:lang w:val="de-DE"/>
        </w:rPr>
        <w:t>, 20230184 (2024).</w:t>
      </w:r>
    </w:p>
    <w:p>
      <w:pPr>
        <w:pStyle w:val="23"/>
        <w:rPr>
          <w:rFonts w:ascii="Times New Roman" w:hAnsi="Times New Roman" w:cs="Times New Roman"/>
          <w:lang w:val="en-US"/>
        </w:rPr>
      </w:pPr>
      <w:r>
        <w:rPr>
          <w:rFonts w:ascii="Times New Roman" w:hAnsi="Times New Roman" w:cs="Times New Roman"/>
          <w:lang w:val="de-DE"/>
        </w:rPr>
        <w:t xml:space="preserve">40. </w:t>
      </w:r>
      <w:r>
        <w:rPr>
          <w:rFonts w:ascii="Times New Roman" w:hAnsi="Times New Roman" w:cs="Times New Roman"/>
          <w:lang w:val="de-DE"/>
        </w:rPr>
        <w:tab/>
      </w:r>
      <w:r>
        <w:rPr>
          <w:rFonts w:ascii="Times New Roman" w:hAnsi="Times New Roman" w:cs="Times New Roman"/>
          <w:lang w:val="de-DE"/>
        </w:rPr>
        <w:t xml:space="preserve">M. A. Strodl, P. Schausberger, </w:t>
      </w:r>
      <w:r>
        <w:rPr>
          <w:rFonts w:ascii="Times New Roman" w:hAnsi="Times New Roman" w:cs="Times New Roman"/>
          <w:i/>
          <w:iCs/>
          <w:lang w:val="de-DE"/>
        </w:rPr>
        <w:t>Oikos</w:t>
      </w:r>
      <w:r>
        <w:rPr>
          <w:rFonts w:ascii="Times New Roman" w:hAnsi="Times New Roman" w:cs="Times New Roman"/>
          <w:lang w:val="de-DE"/>
        </w:rPr>
        <w:t xml:space="preserve">. </w:t>
      </w:r>
      <w:r>
        <w:rPr>
          <w:rFonts w:ascii="Times New Roman" w:hAnsi="Times New Roman" w:cs="Times New Roman"/>
          <w:b/>
          <w:bCs/>
          <w:lang w:val="en-US"/>
        </w:rPr>
        <w:t>122</w:t>
      </w:r>
      <w:r>
        <w:rPr>
          <w:rFonts w:ascii="Times New Roman" w:hAnsi="Times New Roman" w:cs="Times New Roman"/>
          <w:lang w:val="en-US"/>
        </w:rPr>
        <w:t>, 1217–1226 (2013).</w:t>
      </w:r>
    </w:p>
    <w:p>
      <w:pPr>
        <w:pStyle w:val="23"/>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r>
      <w:r>
        <w:rPr>
          <w:rFonts w:ascii="Times New Roman" w:hAnsi="Times New Roman" w:cs="Times New Roman"/>
          <w:lang w:val="en-US"/>
        </w:rPr>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pPr>
        <w:pStyle w:val="23"/>
        <w:rPr>
          <w:rFonts w:ascii="Times New Roman" w:hAnsi="Times New Roman" w:cs="Times New Roman"/>
          <w:lang w:val="en-US"/>
        </w:rPr>
      </w:pPr>
      <w:r>
        <w:rPr>
          <w:rFonts w:ascii="Times New Roman" w:hAnsi="Times New Roman" w:cs="Times New Roman"/>
          <w:lang w:val="en-US"/>
        </w:rPr>
        <w:t xml:space="preserve">42. </w:t>
      </w:r>
      <w:r>
        <w:rPr>
          <w:rFonts w:ascii="Times New Roman" w:hAnsi="Times New Roman" w:cs="Times New Roman"/>
          <w:lang w:val="en-US"/>
        </w:rPr>
        <w:tab/>
      </w:r>
      <w:r>
        <w:rPr>
          <w:rFonts w:ascii="Times New Roman" w:hAnsi="Times New Roman" w:cs="Times New Roman"/>
          <w:lang w:val="en-US"/>
        </w:rPr>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pPr>
        <w:pStyle w:val="23"/>
        <w:rPr>
          <w:rFonts w:ascii="Times New Roman" w:hAnsi="Times New Roman" w:cs="Times New Roman"/>
          <w:lang w:val="en-US"/>
        </w:rPr>
      </w:pPr>
      <w:r>
        <w:rPr>
          <w:rFonts w:ascii="Times New Roman" w:hAnsi="Times New Roman" w:cs="Times New Roman"/>
          <w:lang w:val="en-US"/>
        </w:rPr>
        <w:t xml:space="preserve">43. </w:t>
      </w:r>
      <w:r>
        <w:rPr>
          <w:rFonts w:ascii="Times New Roman" w:hAnsi="Times New Roman" w:cs="Times New Roman"/>
          <w:lang w:val="en-US"/>
        </w:rPr>
        <w:tab/>
      </w:r>
      <w:r>
        <w:rPr>
          <w:rFonts w:ascii="Times New Roman" w:hAnsi="Times New Roman" w:cs="Times New Roman"/>
          <w:lang w:val="en-US"/>
        </w:rPr>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74</w:t>
      </w:r>
      <w:r>
        <w:rPr>
          <w:rFonts w:ascii="Times New Roman" w:hAnsi="Times New Roman" w:cs="Times New Roman"/>
          <w:lang w:val="en-US"/>
        </w:rPr>
        <w:t>, 739–747 (2007).</w:t>
      </w:r>
    </w:p>
    <w:p>
      <w:pPr>
        <w:pStyle w:val="23"/>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r>
      <w:r>
        <w:rPr>
          <w:rFonts w:ascii="Times New Roman" w:hAnsi="Times New Roman" w:cs="Times New Roman"/>
          <w:lang w:val="en-US"/>
        </w:rPr>
        <w:t xml:space="preserve">K. E. Lucia, B. Keane,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66</w:t>
      </w:r>
      <w:r>
        <w:rPr>
          <w:rFonts w:ascii="Times New Roman" w:hAnsi="Times New Roman" w:cs="Times New Roman"/>
          <w:lang w:val="en-US"/>
        </w:rPr>
        <w:t>, 13–27 (2012).</w:t>
      </w:r>
    </w:p>
    <w:p>
      <w:pPr>
        <w:pStyle w:val="23"/>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r>
      <w:r>
        <w:rPr>
          <w:rFonts w:ascii="Times New Roman" w:hAnsi="Times New Roman" w:cs="Times New Roman"/>
          <w:lang w:val="en-US"/>
        </w:rPr>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pPr>
        <w:pStyle w:val="23"/>
        <w:rPr>
          <w:rFonts w:ascii="Times New Roman" w:hAnsi="Times New Roman" w:cs="Times New Roman"/>
          <w:lang w:val="en-US"/>
        </w:rPr>
      </w:pPr>
      <w:r>
        <w:rPr>
          <w:rFonts w:ascii="Times New Roman" w:hAnsi="Times New Roman" w:cs="Times New Roman"/>
          <w:lang w:val="en-US"/>
        </w:rPr>
        <w:t xml:space="preserve">46. </w:t>
      </w:r>
      <w:r>
        <w:rPr>
          <w:rFonts w:ascii="Times New Roman" w:hAnsi="Times New Roman" w:cs="Times New Roman"/>
          <w:lang w:val="en-US"/>
        </w:rPr>
        <w:tab/>
      </w:r>
      <w:r>
        <w:rPr>
          <w:rFonts w:ascii="Times New Roman" w:hAnsi="Times New Roman" w:cs="Times New Roman"/>
          <w:lang w:val="en-US"/>
        </w:rPr>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pPr>
        <w:pStyle w:val="23"/>
        <w:rPr>
          <w:rFonts w:ascii="Times New Roman" w:hAnsi="Times New Roman" w:cs="Times New Roman"/>
          <w:lang w:val="en-US"/>
        </w:rPr>
      </w:pPr>
      <w:r>
        <w:rPr>
          <w:rFonts w:ascii="Times New Roman" w:hAnsi="Times New Roman" w:cs="Times New Roman"/>
          <w:lang w:val="en-US"/>
        </w:rPr>
        <w:t xml:space="preserve">47. </w:t>
      </w:r>
      <w:r>
        <w:rPr>
          <w:rFonts w:ascii="Times New Roman" w:hAnsi="Times New Roman" w:cs="Times New Roman"/>
          <w:lang w:val="en-US"/>
        </w:rPr>
        <w:tab/>
      </w:r>
      <w:r>
        <w:rPr>
          <w:rFonts w:ascii="Times New Roman" w:hAnsi="Times New Roman" w:cs="Times New Roman"/>
          <w:lang w:val="en-US"/>
        </w:rPr>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pPr>
        <w:pStyle w:val="23"/>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r>
      <w:r>
        <w:rPr>
          <w:rFonts w:ascii="Times New Roman" w:hAnsi="Times New Roman" w:cs="Times New Roman"/>
          <w:lang w:val="en-US"/>
        </w:rPr>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pPr>
        <w:rPr>
          <w:lang w:val="en-GB"/>
        </w:rPr>
      </w:pPr>
      <w:r>
        <w:rPr>
          <w:lang w:val="en-GB"/>
        </w:rPr>
        <w:fldChar w:fldCharType="end"/>
      </w:r>
    </w:p>
    <w:sectPr>
      <w:pgSz w:w="12240" w:h="15840"/>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mien Farine" w:date="2026-01-14T12:39:00Z" w:initials="">
    <w:p w14:paraId="39DE270D">
      <w:pPr>
        <w:pStyle w:val="12"/>
      </w:pPr>
      <w:r>
        <w:t>Here’s a couple of reviews that could be cited here:</w:t>
      </w:r>
      <w:r>
        <w:br w:type="textWrapping"/>
      </w:r>
      <w:r>
        <w:br w:type="textWrapping"/>
      </w:r>
      <w:r>
        <w:fldChar w:fldCharType="begin"/>
      </w:r>
      <w:r>
        <w:instrText xml:space="preserve"> HYPERLINK "https://pmc.ncbi.nlm.nih.gov/articles/PMC2692487/" </w:instrText>
      </w:r>
      <w:r>
        <w:fldChar w:fldCharType="separate"/>
      </w:r>
      <w:r>
        <w:rPr>
          <w:rStyle w:val="15"/>
        </w:rPr>
        <w:t>https://pmc.ncbi.nlm.nih.gov/articles/PMC2692487/</w:t>
      </w:r>
      <w:r>
        <w:rPr>
          <w:rStyle w:val="15"/>
        </w:rPr>
        <w:fldChar w:fldCharType="end"/>
      </w:r>
    </w:p>
    <w:p w14:paraId="79FBB0E7">
      <w:pPr>
        <w:pStyle w:val="12"/>
      </w:pPr>
      <w:r>
        <w:fldChar w:fldCharType="begin"/>
      </w:r>
      <w:r>
        <w:instrText xml:space="preserve"> HYPERLINK "https://www.cell.com/current-biology/fulltext/S0960-9822(09)01680-7" </w:instrText>
      </w:r>
      <w:r>
        <w:fldChar w:fldCharType="separate"/>
      </w:r>
      <w:r>
        <w:rPr>
          <w:rStyle w:val="15"/>
        </w:rPr>
        <w:t>https://www.cell.com/current-biology/fulltext/S0960-9822(09)01680-7</w:t>
      </w:r>
      <w:r>
        <w:rPr>
          <w:rStyle w:val="15"/>
        </w:rPr>
        <w:fldChar w:fldCharType="end"/>
      </w:r>
    </w:p>
    <w:p w14:paraId="75EF0629">
      <w:pPr>
        <w:pStyle w:val="12"/>
      </w:pPr>
      <w:r>
        <w:fldChar w:fldCharType="begin"/>
      </w:r>
      <w:r>
        <w:instrText xml:space="preserve"> HYPERLINK "https://royalsocietypublishing.org/rstb/article/379/1905/20230184/109491/The-relative-contribution-of-acoustic-signals" </w:instrText>
      </w:r>
      <w:r>
        <w:fldChar w:fldCharType="separate"/>
      </w:r>
      <w:r>
        <w:rPr>
          <w:rStyle w:val="15"/>
        </w:rPr>
        <w:t>https://royalsocietypublishing.org/rstb/article/379/1905/20230184/109491/The-relative-contribution-of-acoustic-signals</w:t>
      </w:r>
      <w:r>
        <w:rPr>
          <w:rStyle w:val="15"/>
        </w:rPr>
        <w:fldChar w:fldCharType="end"/>
      </w:r>
    </w:p>
    <w:p w14:paraId="FFCF08C0">
      <w:pPr>
        <w:pStyle w:val="1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CF08C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mien Farine">
    <w15:presenceInfo w15:providerId="AD" w15:userId="S::wolf3354@ox.ac.uk::abefb401-7f24-4905-bc7f-69fef111bc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80528"/>
    <w:rsid w:val="00087BC2"/>
    <w:rsid w:val="000901A2"/>
    <w:rsid w:val="000C1B45"/>
    <w:rsid w:val="00110248"/>
    <w:rsid w:val="00121FDB"/>
    <w:rsid w:val="001443B5"/>
    <w:rsid w:val="001C12E7"/>
    <w:rsid w:val="001E012C"/>
    <w:rsid w:val="00276469"/>
    <w:rsid w:val="002A03DF"/>
    <w:rsid w:val="002C1286"/>
    <w:rsid w:val="002D131A"/>
    <w:rsid w:val="00303D82"/>
    <w:rsid w:val="00317B8F"/>
    <w:rsid w:val="003341F0"/>
    <w:rsid w:val="00354538"/>
    <w:rsid w:val="00373E9C"/>
    <w:rsid w:val="00380345"/>
    <w:rsid w:val="003D211E"/>
    <w:rsid w:val="003F11C8"/>
    <w:rsid w:val="004117C4"/>
    <w:rsid w:val="00425191"/>
    <w:rsid w:val="00443804"/>
    <w:rsid w:val="00490B85"/>
    <w:rsid w:val="004E1F88"/>
    <w:rsid w:val="00515E56"/>
    <w:rsid w:val="0052054E"/>
    <w:rsid w:val="005376DC"/>
    <w:rsid w:val="005422A7"/>
    <w:rsid w:val="00564700"/>
    <w:rsid w:val="00593082"/>
    <w:rsid w:val="005939D5"/>
    <w:rsid w:val="005B023E"/>
    <w:rsid w:val="005C13E1"/>
    <w:rsid w:val="00643071"/>
    <w:rsid w:val="00664760"/>
    <w:rsid w:val="006661F9"/>
    <w:rsid w:val="006A6591"/>
    <w:rsid w:val="006A7114"/>
    <w:rsid w:val="006C7625"/>
    <w:rsid w:val="00702AFE"/>
    <w:rsid w:val="00754BBA"/>
    <w:rsid w:val="00787B47"/>
    <w:rsid w:val="00794B32"/>
    <w:rsid w:val="007C1050"/>
    <w:rsid w:val="007E78E6"/>
    <w:rsid w:val="007F48F6"/>
    <w:rsid w:val="00802981"/>
    <w:rsid w:val="00804639"/>
    <w:rsid w:val="00805A67"/>
    <w:rsid w:val="00813C0E"/>
    <w:rsid w:val="00821D2D"/>
    <w:rsid w:val="00854AC9"/>
    <w:rsid w:val="00866EB5"/>
    <w:rsid w:val="008779DD"/>
    <w:rsid w:val="00897D82"/>
    <w:rsid w:val="008D0B20"/>
    <w:rsid w:val="008F0E0F"/>
    <w:rsid w:val="008F2957"/>
    <w:rsid w:val="00916AC7"/>
    <w:rsid w:val="00940130"/>
    <w:rsid w:val="00975E65"/>
    <w:rsid w:val="009773D5"/>
    <w:rsid w:val="009A4A89"/>
    <w:rsid w:val="009D1CAE"/>
    <w:rsid w:val="009E2CBC"/>
    <w:rsid w:val="00A11675"/>
    <w:rsid w:val="00A44BC5"/>
    <w:rsid w:val="00AB365B"/>
    <w:rsid w:val="00AB3CD5"/>
    <w:rsid w:val="00AB705E"/>
    <w:rsid w:val="00B01AD1"/>
    <w:rsid w:val="00B123CD"/>
    <w:rsid w:val="00B76508"/>
    <w:rsid w:val="00B77121"/>
    <w:rsid w:val="00B8742C"/>
    <w:rsid w:val="00BB7C27"/>
    <w:rsid w:val="00BC3F65"/>
    <w:rsid w:val="00BD2359"/>
    <w:rsid w:val="00C13182"/>
    <w:rsid w:val="00C56D91"/>
    <w:rsid w:val="00C6222C"/>
    <w:rsid w:val="00CD1254"/>
    <w:rsid w:val="00CD34E3"/>
    <w:rsid w:val="00CD5ECB"/>
    <w:rsid w:val="00CE099B"/>
    <w:rsid w:val="00CF3513"/>
    <w:rsid w:val="00CF507A"/>
    <w:rsid w:val="00CF5155"/>
    <w:rsid w:val="00D016E7"/>
    <w:rsid w:val="00D03A23"/>
    <w:rsid w:val="00D25C6D"/>
    <w:rsid w:val="00D30D3A"/>
    <w:rsid w:val="00D3763F"/>
    <w:rsid w:val="00D47636"/>
    <w:rsid w:val="00D5157F"/>
    <w:rsid w:val="00D70F5C"/>
    <w:rsid w:val="00DB038E"/>
    <w:rsid w:val="00DC55F1"/>
    <w:rsid w:val="00E07493"/>
    <w:rsid w:val="00E22CCD"/>
    <w:rsid w:val="00E84094"/>
    <w:rsid w:val="00EB6DDA"/>
    <w:rsid w:val="00F055AF"/>
    <w:rsid w:val="00F149E3"/>
    <w:rsid w:val="00F251B9"/>
    <w:rsid w:val="00F434E5"/>
    <w:rsid w:val="00F557FE"/>
    <w:rsid w:val="00F734F3"/>
    <w:rsid w:val="00F8375E"/>
    <w:rsid w:val="00F93931"/>
    <w:rsid w:val="00FA58EB"/>
    <w:rsid w:val="00FB5C86"/>
    <w:rsid w:val="2FCFCDC2"/>
    <w:rsid w:val="3F7FD2E7"/>
    <w:rsid w:val="775B662F"/>
    <w:rsid w:val="775FC776"/>
    <w:rsid w:val="7A3F0BF0"/>
    <w:rsid w:val="A72D2061"/>
    <w:rsid w:val="DFCFF11F"/>
    <w:rsid w:val="E3DF5106"/>
    <w:rsid w:val="EFFA999A"/>
    <w:rsid w:val="FDF7061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21"/>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character" w:customStyle="1" w:styleId="18">
    <w:name w:val="Comment Text Char"/>
    <w:basedOn w:val="8"/>
    <w:link w:val="12"/>
    <w:qFormat/>
    <w:uiPriority w:val="99"/>
    <w:rPr>
      <w:sz w:val="20"/>
      <w:szCs w:val="20"/>
    </w:rPr>
  </w:style>
  <w:style w:type="character" w:customStyle="1" w:styleId="19">
    <w:name w:val="Balloon Text Char"/>
    <w:basedOn w:val="8"/>
    <w:link w:val="10"/>
    <w:semiHidden/>
    <w:qFormat/>
    <w:uiPriority w:val="99"/>
    <w:rPr>
      <w:rFonts w:ascii="Times New Roman" w:hAnsi="Times New Roman" w:cs="Times New Roman"/>
      <w:sz w:val="18"/>
      <w:szCs w:val="18"/>
    </w:rPr>
  </w:style>
  <w:style w:type="character" w:customStyle="1" w:styleId="20">
    <w:name w:val="Mención sin resolver1"/>
    <w:basedOn w:val="8"/>
    <w:semiHidden/>
    <w:unhideWhenUsed/>
    <w:qFormat/>
    <w:uiPriority w:val="99"/>
    <w:rPr>
      <w:color w:val="605E5C"/>
      <w:shd w:val="clear" w:color="auto" w:fill="E1DFDD"/>
    </w:rPr>
  </w:style>
  <w:style w:type="character" w:customStyle="1" w:styleId="21">
    <w:name w:val="Comment Subject Char"/>
    <w:basedOn w:val="18"/>
    <w:link w:val="13"/>
    <w:semiHidden/>
    <w:qFormat/>
    <w:uiPriority w:val="99"/>
    <w:rPr>
      <w:b/>
      <w:bCs/>
      <w:sz w:val="20"/>
      <w:szCs w:val="20"/>
    </w:rPr>
  </w:style>
  <w:style w:type="paragraph" w:customStyle="1" w:styleId="22">
    <w:name w:val="Revisión1"/>
    <w:hidden/>
    <w:semiHidden/>
    <w:qFormat/>
    <w:uiPriority w:val="99"/>
    <w:rPr>
      <w:rFonts w:ascii="Arial" w:hAnsi="Arial" w:eastAsia="Arial" w:cs="Arial"/>
      <w:sz w:val="22"/>
      <w:szCs w:val="22"/>
      <w:lang w:val="es" w:eastAsia="en-US" w:bidi="ar-SA"/>
    </w:rPr>
  </w:style>
  <w:style w:type="paragraph" w:customStyle="1" w:styleId="23">
    <w:name w:val="Bibliografía1"/>
    <w:basedOn w:val="1"/>
    <w:next w:val="1"/>
    <w:unhideWhenUsed/>
    <w:qFormat/>
    <w:uiPriority w:val="37"/>
    <w:pPr>
      <w:tabs>
        <w:tab w:val="left" w:pos="504"/>
      </w:tabs>
      <w:spacing w:after="240" w:line="240" w:lineRule="auto"/>
      <w:ind w:left="504" w:hanging="504"/>
    </w:pPr>
  </w:style>
  <w:style w:type="paragraph" w:customStyle="1" w:styleId="24">
    <w:name w:val="Revision"/>
    <w:hidden/>
    <w:unhideWhenUsed/>
    <w:qFormat/>
    <w:uiPriority w:val="99"/>
    <w:rPr>
      <w:rFonts w:ascii="Arial" w:hAnsi="Arial" w:eastAsia="Arial" w:cs="Arial"/>
      <w:sz w:val="22"/>
      <w:szCs w:val="22"/>
      <w:lang w:val="es" w:eastAsia="en-US" w:bidi="ar-SA"/>
    </w:rPr>
  </w:style>
  <w:style w:type="character" w:customStyle="1" w:styleId="2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14021</Words>
  <Characters>88335</Characters>
  <Lines>736</Lines>
  <Paragraphs>204</Paragraphs>
  <TotalTime>156</TotalTime>
  <ScaleCrop>false</ScaleCrop>
  <LinksUpToDate>false</LinksUpToDate>
  <CharactersWithSpaces>102152</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2026-01-15T11:43:00Z</dcterms:created>
  <dc:creator>Gloriana</dc:creator>
  <cp:lastModifiedBy>marcelo</cp:lastModifiedBy>
  <dcterms:modified xsi:type="dcterms:W3CDTF">2026-02-11T09:59:55Z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id="jkt9qljZ"/&gt;&lt;style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