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3B986" w14:textId="3A1ACC67" w:rsidR="00D13CF9" w:rsidRDefault="00D13CF9" w:rsidP="00C915E1">
      <w:pPr>
        <w:spacing w:line="480" w:lineRule="auto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Supplementary Figures</w:t>
      </w:r>
    </w:p>
    <w:p w14:paraId="3FC8A9F4" w14:textId="77777777" w:rsidR="00D13CF9" w:rsidRDefault="00D13CF9" w:rsidP="00C915E1">
      <w:pPr>
        <w:spacing w:line="480" w:lineRule="auto"/>
        <w:rPr>
          <w:rFonts w:ascii="Times New Roman" w:hAnsi="Times New Roman" w:cs="Times New Roman"/>
          <w:b/>
          <w:bCs/>
          <w:noProof/>
        </w:rPr>
      </w:pPr>
    </w:p>
    <w:p w14:paraId="7B9439AA" w14:textId="3056C228" w:rsidR="00D13CF9" w:rsidRDefault="00D13CF9" w:rsidP="00E7571A">
      <w:pPr>
        <w:spacing w:line="480" w:lineRule="auto"/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0B104CD" wp14:editId="756A5DCA">
            <wp:extent cx="5943600" cy="4089400"/>
            <wp:effectExtent l="0" t="0" r="0" b="6350"/>
            <wp:docPr id="21442378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37892" name="Picture 214423789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3CF9">
        <w:t xml:space="preserve"> </w:t>
      </w:r>
      <w:r w:rsidRPr="00D13CF9">
        <w:rPr>
          <w:rFonts w:ascii="Times New Roman" w:hAnsi="Times New Roman" w:cs="Times New Roman"/>
          <w:b/>
          <w:bCs/>
        </w:rPr>
        <w:t xml:space="preserve">Supplementary Figure 1. </w:t>
      </w:r>
      <w:r w:rsidRPr="00D13CF9">
        <w:rPr>
          <w:rFonts w:ascii="Times New Roman" w:hAnsi="Times New Roman" w:cs="Times New Roman"/>
        </w:rPr>
        <w:t>Acoustic spaces of the focal southern capuchino species defined by principal component</w:t>
      </w:r>
      <w:r w:rsidR="00E7571A">
        <w:rPr>
          <w:rFonts w:ascii="Times New Roman" w:hAnsi="Times New Roman" w:cs="Times New Roman"/>
        </w:rPr>
        <w:t xml:space="preserve"> contrasts </w:t>
      </w:r>
      <w:r w:rsidRPr="00D13CF9">
        <w:rPr>
          <w:rFonts w:ascii="Times New Roman" w:hAnsi="Times New Roman" w:cs="Times New Roman"/>
        </w:rPr>
        <w:t xml:space="preserve">not shown in the main text. For simple songs, acoustic spaces are shown for element-level analyses (SS-EL; PC1 vs. PC3, </w:t>
      </w:r>
      <w:r w:rsidRPr="00D13CF9">
        <w:rPr>
          <w:rFonts w:ascii="Times New Roman" w:hAnsi="Times New Roman" w:cs="Times New Roman"/>
          <w:b/>
          <w:bCs/>
        </w:rPr>
        <w:t>A</w:t>
      </w:r>
      <w:r w:rsidRPr="00D13CF9">
        <w:rPr>
          <w:rFonts w:ascii="Times New Roman" w:hAnsi="Times New Roman" w:cs="Times New Roman"/>
        </w:rPr>
        <w:t xml:space="preserve">) and song-level analyses (SS-SL; PC1 vs. PC3, </w:t>
      </w:r>
      <w:r w:rsidRPr="00D13CF9">
        <w:rPr>
          <w:rFonts w:ascii="Times New Roman" w:hAnsi="Times New Roman" w:cs="Times New Roman"/>
          <w:b/>
          <w:bCs/>
        </w:rPr>
        <w:t>B</w:t>
      </w:r>
      <w:r w:rsidRPr="00D13CF9">
        <w:rPr>
          <w:rFonts w:ascii="Times New Roman" w:hAnsi="Times New Roman" w:cs="Times New Roman"/>
        </w:rPr>
        <w:t xml:space="preserve">). For complex songs, acoustic spaces are shown for element-level analyses (CS-EL; PC1 vs. PC2, </w:t>
      </w:r>
      <w:r w:rsidRPr="00D13CF9">
        <w:rPr>
          <w:rFonts w:ascii="Times New Roman" w:hAnsi="Times New Roman" w:cs="Times New Roman"/>
          <w:b/>
          <w:bCs/>
        </w:rPr>
        <w:t>C</w:t>
      </w:r>
      <w:r w:rsidRPr="00D13CF9">
        <w:rPr>
          <w:rFonts w:ascii="Times New Roman" w:hAnsi="Times New Roman" w:cs="Times New Roman"/>
        </w:rPr>
        <w:t xml:space="preserve">; PC2 vs. PC4, </w:t>
      </w:r>
      <w:r w:rsidRPr="00D13CF9">
        <w:rPr>
          <w:rFonts w:ascii="Times New Roman" w:hAnsi="Times New Roman" w:cs="Times New Roman"/>
          <w:b/>
          <w:bCs/>
        </w:rPr>
        <w:t>D</w:t>
      </w:r>
      <w:r w:rsidRPr="00D13CF9">
        <w:rPr>
          <w:rFonts w:ascii="Times New Roman" w:hAnsi="Times New Roman" w:cs="Times New Roman"/>
        </w:rPr>
        <w:t xml:space="preserve">; PC3 vs. PC4, </w:t>
      </w:r>
      <w:r w:rsidRPr="00D13CF9">
        <w:rPr>
          <w:rFonts w:ascii="Times New Roman" w:hAnsi="Times New Roman" w:cs="Times New Roman"/>
          <w:b/>
          <w:bCs/>
        </w:rPr>
        <w:t>E</w:t>
      </w:r>
      <w:r w:rsidRPr="00D13CF9">
        <w:rPr>
          <w:rFonts w:ascii="Times New Roman" w:hAnsi="Times New Roman" w:cs="Times New Roman"/>
        </w:rPr>
        <w:t xml:space="preserve">) and song-level analyses (CS-SL; PC1 vs. PC3, </w:t>
      </w:r>
      <w:r w:rsidRPr="00D13CF9">
        <w:rPr>
          <w:rFonts w:ascii="Times New Roman" w:hAnsi="Times New Roman" w:cs="Times New Roman"/>
          <w:b/>
          <w:bCs/>
        </w:rPr>
        <w:t>F</w:t>
      </w:r>
      <w:r w:rsidRPr="00D13CF9">
        <w:rPr>
          <w:rFonts w:ascii="Times New Roman" w:hAnsi="Times New Roman" w:cs="Times New Roman"/>
        </w:rPr>
        <w:t xml:space="preserve">). </w:t>
      </w:r>
      <w:r w:rsidR="00E7571A" w:rsidRPr="00D13CF9">
        <w:rPr>
          <w:rFonts w:ascii="Times New Roman" w:hAnsi="Times New Roman" w:cs="Times New Roman"/>
        </w:rPr>
        <w:t xml:space="preserve">Colors indicate species identity (see </w:t>
      </w:r>
      <w:proofErr w:type="gramStart"/>
      <w:r w:rsidR="00E7571A" w:rsidRPr="00D13CF9">
        <w:rPr>
          <w:rFonts w:ascii="Times New Roman" w:hAnsi="Times New Roman" w:cs="Times New Roman"/>
        </w:rPr>
        <w:t>inset</w:t>
      </w:r>
      <w:proofErr w:type="gramEnd"/>
      <w:r w:rsidR="00E7571A" w:rsidRPr="00D13CF9">
        <w:rPr>
          <w:rFonts w:ascii="Times New Roman" w:hAnsi="Times New Roman" w:cs="Times New Roman"/>
        </w:rPr>
        <w:t xml:space="preserve">). </w:t>
      </w:r>
      <w:r w:rsidR="005C5A00" w:rsidRPr="005C5A00">
        <w:rPr>
          <w:rFonts w:ascii="Times New Roman" w:hAnsi="Times New Roman" w:cs="Times New Roman"/>
        </w:rPr>
        <w:t>Ellipses indicate 95% confidence intervals</w:t>
      </w:r>
      <w:r w:rsidR="005C5A00">
        <w:rPr>
          <w:rFonts w:ascii="Times New Roman" w:hAnsi="Times New Roman" w:cs="Times New Roman"/>
        </w:rPr>
        <w:t xml:space="preserve">. </w:t>
      </w:r>
      <w:r w:rsidR="00E7571A" w:rsidRPr="00D13CF9">
        <w:rPr>
          <w:rFonts w:ascii="Times New Roman" w:hAnsi="Times New Roman" w:cs="Times New Roman"/>
        </w:rPr>
        <w:t>The percentage of variance explained by each principal component is indicated on the corresponding axis.</w:t>
      </w:r>
      <w:r>
        <w:br w:type="page"/>
      </w:r>
    </w:p>
    <w:p w14:paraId="23EF3E89" w14:textId="448B6524" w:rsidR="00C915E1" w:rsidRDefault="00E7571A" w:rsidP="00C915E1">
      <w:r>
        <w:rPr>
          <w:noProof/>
        </w:rPr>
        <w:lastRenderedPageBreak/>
        <w:drawing>
          <wp:inline distT="0" distB="0" distL="0" distR="0" wp14:anchorId="32B3EE0C" wp14:editId="3EC56C11">
            <wp:extent cx="5943600" cy="7335520"/>
            <wp:effectExtent l="0" t="0" r="0" b="0"/>
            <wp:docPr id="4330957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95736" name="Picture 4330957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4A256" w14:textId="77777777" w:rsidR="00E7571A" w:rsidRDefault="00E7571A" w:rsidP="00C915E1"/>
    <w:p w14:paraId="11B11213" w14:textId="1D6D0D0C" w:rsidR="00E7571A" w:rsidRPr="00C915E1" w:rsidRDefault="00E7571A" w:rsidP="00C915E1">
      <w:r w:rsidRPr="00D13CF9">
        <w:rPr>
          <w:rFonts w:ascii="Times New Roman" w:hAnsi="Times New Roman" w:cs="Times New Roman"/>
          <w:b/>
          <w:bCs/>
        </w:rPr>
        <w:t xml:space="preserve">Supplementary Figure </w:t>
      </w:r>
      <w:r>
        <w:rPr>
          <w:rFonts w:ascii="Times New Roman" w:hAnsi="Times New Roman" w:cs="Times New Roman"/>
          <w:b/>
          <w:bCs/>
        </w:rPr>
        <w:t>2</w:t>
      </w:r>
      <w:r w:rsidRPr="00D13CF9">
        <w:rPr>
          <w:rFonts w:ascii="Times New Roman" w:hAnsi="Times New Roman" w:cs="Times New Roman"/>
          <w:b/>
          <w:bCs/>
        </w:rPr>
        <w:t xml:space="preserve">. </w:t>
      </w:r>
      <w:r w:rsidRPr="00D13CF9">
        <w:rPr>
          <w:rFonts w:ascii="Times New Roman" w:hAnsi="Times New Roman" w:cs="Times New Roman"/>
        </w:rPr>
        <w:t xml:space="preserve">Acoustic spaces of the focal southern capuchino </w:t>
      </w:r>
      <w:r>
        <w:rPr>
          <w:rFonts w:ascii="Times New Roman" w:hAnsi="Times New Roman" w:cs="Times New Roman"/>
        </w:rPr>
        <w:t>population</w:t>
      </w:r>
      <w:r w:rsidRPr="00D13CF9">
        <w:rPr>
          <w:rFonts w:ascii="Times New Roman" w:hAnsi="Times New Roman" w:cs="Times New Roman"/>
        </w:rPr>
        <w:t xml:space="preserve"> defined by principal component </w:t>
      </w:r>
      <w:r>
        <w:rPr>
          <w:rFonts w:ascii="Times New Roman" w:hAnsi="Times New Roman" w:cs="Times New Roman"/>
        </w:rPr>
        <w:t>contrasts</w:t>
      </w:r>
      <w:r w:rsidRPr="00D13CF9">
        <w:rPr>
          <w:rFonts w:ascii="Times New Roman" w:hAnsi="Times New Roman" w:cs="Times New Roman"/>
        </w:rPr>
        <w:t xml:space="preserve">. For simple songs, acoustic spaces are shown for element-level </w:t>
      </w:r>
      <w:r w:rsidRPr="00D13CF9">
        <w:rPr>
          <w:rFonts w:ascii="Times New Roman" w:hAnsi="Times New Roman" w:cs="Times New Roman"/>
        </w:rPr>
        <w:lastRenderedPageBreak/>
        <w:t>analyses (SS-EL; PC1</w:t>
      </w:r>
      <w:r>
        <w:rPr>
          <w:rFonts w:ascii="Times New Roman" w:hAnsi="Times New Roman" w:cs="Times New Roman"/>
        </w:rPr>
        <w:t xml:space="preserve"> – PC3</w:t>
      </w:r>
      <w:r w:rsidRPr="00D13CF9">
        <w:rPr>
          <w:rFonts w:ascii="Times New Roman" w:hAnsi="Times New Roman" w:cs="Times New Roman"/>
        </w:rPr>
        <w:t xml:space="preserve">, </w:t>
      </w:r>
      <w:r w:rsidRPr="00D13CF9">
        <w:rPr>
          <w:rFonts w:ascii="Times New Roman" w:hAnsi="Times New Roman" w:cs="Times New Roman"/>
          <w:b/>
          <w:bCs/>
        </w:rPr>
        <w:t>A</w:t>
      </w:r>
      <w:r>
        <w:rPr>
          <w:rFonts w:ascii="Times New Roman" w:hAnsi="Times New Roman" w:cs="Times New Roman"/>
          <w:b/>
          <w:bCs/>
        </w:rPr>
        <w:t xml:space="preserve"> - C</w:t>
      </w:r>
      <w:r w:rsidRPr="00D13CF9">
        <w:rPr>
          <w:rFonts w:ascii="Times New Roman" w:hAnsi="Times New Roman" w:cs="Times New Roman"/>
        </w:rPr>
        <w:t>) and song-level analyses (SS-SL; PC1</w:t>
      </w:r>
      <w:r>
        <w:rPr>
          <w:rFonts w:ascii="Times New Roman" w:hAnsi="Times New Roman" w:cs="Times New Roman"/>
        </w:rPr>
        <w:t xml:space="preserve"> – PC3</w:t>
      </w:r>
      <w:r w:rsidRPr="00D13CF9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D</w:t>
      </w:r>
      <w:r>
        <w:rPr>
          <w:rFonts w:ascii="Times New Roman" w:hAnsi="Times New Roman" w:cs="Times New Roman"/>
          <w:b/>
          <w:bCs/>
        </w:rPr>
        <w:t xml:space="preserve"> - </w:t>
      </w:r>
      <w:r>
        <w:rPr>
          <w:rFonts w:ascii="Times New Roman" w:hAnsi="Times New Roman" w:cs="Times New Roman"/>
          <w:b/>
          <w:bCs/>
        </w:rPr>
        <w:t>F</w:t>
      </w:r>
      <w:r w:rsidRPr="00D13CF9">
        <w:rPr>
          <w:rFonts w:ascii="Times New Roman" w:hAnsi="Times New Roman" w:cs="Times New Roman"/>
        </w:rPr>
        <w:t>). For complex songs, acoustic spaces are shown for element-level analyses (CS-EL; PC1</w:t>
      </w:r>
      <w:r>
        <w:rPr>
          <w:rFonts w:ascii="Times New Roman" w:hAnsi="Times New Roman" w:cs="Times New Roman"/>
        </w:rPr>
        <w:t xml:space="preserve"> – PC</w:t>
      </w:r>
      <w:r>
        <w:rPr>
          <w:rFonts w:ascii="Times New Roman" w:hAnsi="Times New Roman" w:cs="Times New Roman"/>
        </w:rPr>
        <w:t>4</w:t>
      </w:r>
      <w:r w:rsidRPr="00D13CF9">
        <w:rPr>
          <w:rFonts w:ascii="Times New Roman" w:hAnsi="Times New Roman" w:cs="Times New Roman"/>
        </w:rPr>
        <w:t xml:space="preserve">, </w:t>
      </w:r>
      <w:r w:rsidRPr="00E7571A">
        <w:rPr>
          <w:rFonts w:ascii="Times New Roman" w:hAnsi="Times New Roman" w:cs="Times New Roman"/>
          <w:b/>
          <w:bCs/>
        </w:rPr>
        <w:t>G</w:t>
      </w:r>
      <w:r w:rsidRPr="00E7571A">
        <w:rPr>
          <w:rFonts w:ascii="Times New Roman" w:hAnsi="Times New Roman" w:cs="Times New Roman"/>
          <w:b/>
          <w:bCs/>
        </w:rPr>
        <w:t xml:space="preserve"> -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L</w:t>
      </w:r>
      <w:r w:rsidRPr="00D13CF9">
        <w:rPr>
          <w:rFonts w:ascii="Times New Roman" w:hAnsi="Times New Roman" w:cs="Times New Roman"/>
        </w:rPr>
        <w:t>) and song-level analyses (CS-SL; PC1</w:t>
      </w:r>
      <w:r>
        <w:rPr>
          <w:rFonts w:ascii="Times New Roman" w:hAnsi="Times New Roman" w:cs="Times New Roman"/>
        </w:rPr>
        <w:t xml:space="preserve"> – PC3</w:t>
      </w:r>
      <w:r w:rsidRPr="00D13CF9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M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Ñ</w:t>
      </w:r>
      <w:r w:rsidRPr="00D13CF9">
        <w:rPr>
          <w:rFonts w:ascii="Times New Roman" w:hAnsi="Times New Roman" w:cs="Times New Roman"/>
        </w:rPr>
        <w:t xml:space="preserve">). </w:t>
      </w:r>
      <w:r>
        <w:rPr>
          <w:rFonts w:ascii="Times New Roman" w:hAnsi="Times New Roman" w:cs="Times New Roman"/>
        </w:rPr>
        <w:t>Shapes</w:t>
      </w:r>
      <w:r w:rsidRPr="00D13CF9">
        <w:rPr>
          <w:rFonts w:ascii="Times New Roman" w:hAnsi="Times New Roman" w:cs="Times New Roman"/>
        </w:rPr>
        <w:t xml:space="preserve"> indicate species identity</w:t>
      </w:r>
      <w:r>
        <w:rPr>
          <w:rFonts w:ascii="Times New Roman" w:hAnsi="Times New Roman" w:cs="Times New Roman"/>
        </w:rPr>
        <w:t xml:space="preserve"> and colors indicate population identity</w:t>
      </w:r>
      <w:r w:rsidRPr="00D13CF9">
        <w:rPr>
          <w:rFonts w:ascii="Times New Roman" w:hAnsi="Times New Roman" w:cs="Times New Roman"/>
        </w:rPr>
        <w:t xml:space="preserve"> (see </w:t>
      </w:r>
      <w:proofErr w:type="gramStart"/>
      <w:r w:rsidRPr="00D13CF9">
        <w:rPr>
          <w:rFonts w:ascii="Times New Roman" w:hAnsi="Times New Roman" w:cs="Times New Roman"/>
        </w:rPr>
        <w:t>inset</w:t>
      </w:r>
      <w:proofErr w:type="gramEnd"/>
      <w:r w:rsidRPr="00D13CF9">
        <w:rPr>
          <w:rFonts w:ascii="Times New Roman" w:hAnsi="Times New Roman" w:cs="Times New Roman"/>
        </w:rPr>
        <w:t>). The percentage of variance explained by each principal component is indicated on the corresponding axis.</w:t>
      </w:r>
    </w:p>
    <w:sectPr w:rsidR="00E7571A" w:rsidRPr="00C915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5E1"/>
    <w:rsid w:val="000D50B8"/>
    <w:rsid w:val="001E7469"/>
    <w:rsid w:val="005C5A00"/>
    <w:rsid w:val="00C915E1"/>
    <w:rsid w:val="00D13CF9"/>
    <w:rsid w:val="00E75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5A499"/>
  <w15:chartTrackingRefBased/>
  <w15:docId w15:val="{4EE7EA3D-6FC8-49A2-A502-641F95169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5E1"/>
  </w:style>
  <w:style w:type="paragraph" w:styleId="Heading1">
    <w:name w:val="heading 1"/>
    <w:basedOn w:val="Normal"/>
    <w:next w:val="Normal"/>
    <w:link w:val="Heading1Char"/>
    <w:uiPriority w:val="9"/>
    <w:qFormat/>
    <w:rsid w:val="00C91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5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tiff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</Words>
  <Characters>1115</Characters>
  <Application>Microsoft Office Word</Application>
  <DocSecurity>0</DocSecurity>
  <Lines>17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Estalles</dc:creator>
  <cp:keywords/>
  <dc:description/>
  <cp:lastModifiedBy>Cecilia Estalles</cp:lastModifiedBy>
  <cp:revision>2</cp:revision>
  <dcterms:created xsi:type="dcterms:W3CDTF">2026-05-20T16:33:00Z</dcterms:created>
  <dcterms:modified xsi:type="dcterms:W3CDTF">2026-05-20T16:33:00Z</dcterms:modified>
</cp:coreProperties>
</file>