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二.DMA:</w:t>
      </w:r>
    </w:p>
    <w:p>
      <w:r>
        <w:drawing>
          <wp:inline distT="0" distB="0" distL="114300" distR="114300">
            <wp:extent cx="5273675" cy="3966845"/>
            <wp:effectExtent l="0" t="0" r="14605" b="10795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225040"/>
            <wp:effectExtent l="0" t="0" r="0" b="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251835"/>
            <wp:effectExtent l="0" t="0" r="14605" b="9525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547235"/>
            <wp:effectExtent l="0" t="0" r="13970" b="9525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739900"/>
            <wp:effectExtent l="0" t="0" r="3175" b="1270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DMA_SxCR：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（1）.通道选择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（2）.仲裁器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（3）.源和目标地址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（4）.指针递增数量和大小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（5）.循环模式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（6）.双缓冲区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（7）.禁止直接模式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82335" cy="922655"/>
            <wp:effectExtent l="0" t="0" r="698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960" cy="1924685"/>
            <wp:effectExtent l="0" t="0" r="5080" b="1079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929255"/>
            <wp:effectExtent l="0" t="0" r="2540" b="1206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398520"/>
            <wp:effectExtent l="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191385"/>
            <wp:effectExtent l="0" t="0" r="3175" b="317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440940"/>
            <wp:effectExtent l="0" t="0" r="1905" b="1270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796415"/>
            <wp:effectExtent l="0" t="0" r="1905" b="190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使能双缓冲区模式时，自动使能循环模式。由于存储器到存储器模式与循环模式不兼容，所以当使能双缓冲区模式时，不允许配置存储器到存储器模式。</w:t>
      </w:r>
    </w:p>
    <w:p>
      <w:r>
        <w:drawing>
          <wp:inline distT="0" distB="0" distL="114300" distR="114300">
            <wp:extent cx="5271770" cy="2646045"/>
            <wp:effectExtent l="0" t="0" r="1270" b="571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851785"/>
            <wp:effectExtent l="0" t="0" r="0" b="1333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2405" cy="1214755"/>
            <wp:effectExtent l="0" t="0" r="635" b="444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143635"/>
            <wp:effectExtent l="0" t="0" r="4445" b="1460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965835"/>
            <wp:effectExtent l="0" t="0" r="635" b="952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007110"/>
            <wp:effectExtent l="0" t="0" r="1270" b="1397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224280"/>
            <wp:effectExtent l="0" t="0" r="4445" b="1016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042795"/>
            <wp:effectExtent l="0" t="0" r="2540" b="1460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326130"/>
            <wp:effectExtent l="0" t="0" r="5715" b="1143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832610"/>
            <wp:effectExtent l="0" t="0" r="3175" b="1143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880360"/>
            <wp:effectExtent l="0" t="0" r="7620" b="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流配置过程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 DMA 数据流 x（其中 x 是数据流编号）时应遵守下面的顺序：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如果使能了数据流，通过重置 DMA_SxCR 寄存器中的 EN 位将其禁止，然后读取此位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以确认没有正在进行的数据流操作。将此位写为 0 不会立即生效，因为实际上只有所有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当前传输都已完成时才会将其写为 0。当所读取 EN 位的值为 0 时，才表示可以配置数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据流。因此在开始任何数据流配置之前，需要等待 EN 位置 0。应将先前的数据块 DMA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传输中在状态寄存器（DMA_LISR 和 DMA_HISR）中置 1 的所有数据流专用的位置 0，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然后才可重新使能数据流。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 在 DMA_SxPAR 寄存器中设置外设端口寄存器地址。外设事件发生后，数据会从此地址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移动到外设端口或从外设端口移动到此地址。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 在 DMA_SxMA0R 寄存器（在双缓冲区模式的情况下还有 DMA_SxMA1R 寄存器）中设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置存储器地址。外设事件发生后，将从此存储器读取数据或将数据写入此存储器。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  在 DMA_SxNDTR 寄存器中配置要传输的数据项的总数。每出现一次外设事件或每出现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一个节拍的突发传输，该值都会递减。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  使用 DMA_SxCR 寄存器中的 CHSEL[2:0] 选择 DMA 通道（请求）。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  如果外设用作流控制器而且支持此功能，请将 DMA_SxCR 寄存器中的 PFCTRL 位置 1。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  使用 DMA_SxCR 寄存器中的 PL[1:0] 位配置数据流优先级。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  配置 FIFO 的使用情况（使能或禁止，发送和接收阈值）。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9.  配置数据传输方向、外设和存储器增量 / 固定模式、单独或突发事务、外设和存储器数据宽度、循环模式、双缓冲区模式和传输完成一半和/或全部完成，和/或 DMA_SxCR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寄存器中错误的中断。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10. 通过将 DMA_SxCR 寄存器中的 EN 位置 1 激活数据流。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一旦使能了流，即可响应连接到数据流的外设发出的任何 DMA 请求。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一旦在 AHB 目标端口上传输了一半数据，传输一半标志 (HTIF) 便会置 1，如果传输一半中断使能位 (HTIE) 置 1，还会生成中断。传输结束时，传输完成标志 (TCIF) 便会置 </w:t>
      </w:r>
      <w:r>
        <w:rPr>
          <w:rFonts w:hint="eastAsia"/>
          <w:lang w:val="en-US" w:eastAsia="zh-CN"/>
        </w:rPr>
        <w:t>1，如</w:t>
      </w:r>
      <w:r>
        <w:rPr>
          <w:rFonts w:hint="default"/>
          <w:lang w:val="en-US" w:eastAsia="zh-CN"/>
        </w:rPr>
        <w:t>果传输完成中断使能位 (TCIE) 置 1，还会生成中断。</w:t>
      </w:r>
    </w:p>
    <w:p>
      <w:r>
        <w:drawing>
          <wp:inline distT="0" distB="0" distL="114300" distR="114300">
            <wp:extent cx="5271135" cy="3314065"/>
            <wp:effectExtent l="0" t="0" r="1905" b="825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8C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2021-03-08T11:42:13Z</dcterms:created>
  <dc:creator>Administrator</dc:creator>
  <cp:lastModifiedBy>Administrator</cp:lastModifiedBy>
  <dcterms:modified xsi:type="dcterms:W3CDTF">2021-03-08T11:42:19Z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EC799D784D5146E4BD33C0F086F4E259</vt:lpwstr>
  </property>
</Properties>
</file>