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FB5A6" w14:textId="46CE21DD" w:rsidR="00A36A1E" w:rsidRPr="00E442DF" w:rsidRDefault="00A36A1E" w:rsidP="00A36A1E">
      <w:pPr>
        <w:rPr>
          <w:rFonts w:ascii="Arial" w:hAnsi="Arial" w:cs="Arial"/>
          <w:b/>
          <w:bCs/>
          <w:sz w:val="32"/>
          <w:szCs w:val="32"/>
        </w:rPr>
      </w:pPr>
      <w:r w:rsidRPr="00E442DF">
        <w:rPr>
          <w:rFonts w:ascii="Arial" w:hAnsi="Arial" w:cs="Arial"/>
          <w:b/>
          <w:bCs/>
          <w:sz w:val="32"/>
          <w:szCs w:val="32"/>
        </w:rPr>
        <w:t xml:space="preserve">Задание </w:t>
      </w:r>
      <w:r>
        <w:rPr>
          <w:rFonts w:ascii="Arial" w:hAnsi="Arial" w:cs="Arial"/>
          <w:b/>
          <w:bCs/>
          <w:sz w:val="32"/>
          <w:szCs w:val="32"/>
        </w:rPr>
        <w:t xml:space="preserve">2.1 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ВСР(</w:t>
      </w:r>
      <w:proofErr w:type="gramEnd"/>
      <w:r>
        <w:rPr>
          <w:rFonts w:ascii="Arial" w:hAnsi="Arial" w:cs="Arial"/>
          <w:b/>
          <w:bCs/>
          <w:sz w:val="32"/>
          <w:szCs w:val="32"/>
        </w:rPr>
        <w:t>1)</w:t>
      </w:r>
      <w:r w:rsidRPr="00E442DF">
        <w:rPr>
          <w:rFonts w:ascii="Arial" w:hAnsi="Arial" w:cs="Arial"/>
          <w:b/>
          <w:bCs/>
          <w:sz w:val="32"/>
          <w:szCs w:val="32"/>
        </w:rPr>
        <w:br/>
        <w:t xml:space="preserve">Выполнил </w:t>
      </w:r>
      <w:proofErr w:type="spellStart"/>
      <w:r w:rsidRPr="00E442DF">
        <w:rPr>
          <w:rFonts w:ascii="Arial" w:hAnsi="Arial" w:cs="Arial"/>
          <w:b/>
          <w:bCs/>
          <w:sz w:val="32"/>
          <w:szCs w:val="32"/>
        </w:rPr>
        <w:t>Магер</w:t>
      </w:r>
      <w:proofErr w:type="spellEnd"/>
      <w:r w:rsidRPr="00E442DF">
        <w:rPr>
          <w:rFonts w:ascii="Arial" w:hAnsi="Arial" w:cs="Arial"/>
          <w:b/>
          <w:bCs/>
          <w:sz w:val="32"/>
          <w:szCs w:val="32"/>
        </w:rPr>
        <w:t xml:space="preserve"> Е.В. ИВТ 2.2</w:t>
      </w:r>
    </w:p>
    <w:p w14:paraId="26319FF9" w14:textId="77777777" w:rsidR="00A36A1E" w:rsidRPr="00A36A1E" w:rsidRDefault="00A36A1E" w:rsidP="00A36A1E">
      <w:pPr>
        <w:shd w:val="clear" w:color="auto" w:fill="FFFFFF"/>
        <w:spacing w:after="150" w:line="240" w:lineRule="auto"/>
        <w:rPr>
          <w:rFonts w:ascii="Arial" w:hAnsi="Arial" w:cs="Arial"/>
        </w:rPr>
      </w:pPr>
      <w:r w:rsidRPr="00A36A1E">
        <w:rPr>
          <w:rFonts w:ascii="Arial" w:hAnsi="Arial" w:cs="Arial"/>
        </w:rPr>
        <w:t>2.1. 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58D2DF35" w14:textId="77777777" w:rsidR="00A36A1E" w:rsidRPr="00A36A1E" w:rsidRDefault="00A36A1E" w:rsidP="00A36A1E">
      <w:pPr>
        <w:shd w:val="clear" w:color="auto" w:fill="FFFFFF"/>
        <w:spacing w:after="150" w:line="240" w:lineRule="auto"/>
        <w:rPr>
          <w:rFonts w:ascii="Arial" w:hAnsi="Arial" w:cs="Arial"/>
        </w:rPr>
      </w:pPr>
      <w:r w:rsidRPr="00A36A1E">
        <w:rPr>
          <w:rFonts w:ascii="Arial" w:hAnsi="Arial" w:cs="Arial"/>
        </w:rPr>
        <w:t>Для выполнения задания используются электронные библиотечные ресурсы:</w:t>
      </w:r>
    </w:p>
    <w:p w14:paraId="2CC9E699" w14:textId="77777777" w:rsidR="00A36A1E" w:rsidRPr="00A36A1E" w:rsidRDefault="00A36A1E" w:rsidP="00A36A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A36A1E">
        <w:rPr>
          <w:rFonts w:ascii="Arial" w:hAnsi="Arial" w:cs="Arial"/>
        </w:rPr>
        <w:t>электронная библиотека РГПУ им. А. И. Герцена </w:t>
      </w:r>
      <w:hyperlink r:id="rId5" w:history="1">
        <w:r w:rsidRPr="00A36A1E">
          <w:rPr>
            <w:rFonts w:ascii="Arial" w:hAnsi="Arial" w:cs="Arial"/>
          </w:rPr>
          <w:t>https://lib.herzen.spb.ru/</w:t>
        </w:r>
      </w:hyperlink>
    </w:p>
    <w:p w14:paraId="58A0361A" w14:textId="77777777" w:rsidR="00A36A1E" w:rsidRPr="00A36A1E" w:rsidRDefault="00A36A1E" w:rsidP="00A36A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hAnsi="Arial" w:cs="Arial"/>
        </w:rPr>
      </w:pPr>
      <w:r w:rsidRPr="00A36A1E">
        <w:rPr>
          <w:rFonts w:ascii="Arial" w:hAnsi="Arial" w:cs="Arial"/>
        </w:rPr>
        <w:t>библиотечные системы, доступные в РГПУ (список представлен по ссылке ниже)</w:t>
      </w:r>
    </w:p>
    <w:p w14:paraId="154857F8" w14:textId="77777777" w:rsidR="00A36A1E" w:rsidRPr="00A36A1E" w:rsidRDefault="00A36A1E" w:rsidP="00A36A1E">
      <w:pPr>
        <w:shd w:val="clear" w:color="auto" w:fill="FFFFFF"/>
        <w:spacing w:after="150" w:line="240" w:lineRule="auto"/>
        <w:rPr>
          <w:rFonts w:ascii="Arial" w:hAnsi="Arial" w:cs="Arial"/>
        </w:rPr>
      </w:pPr>
      <w:r w:rsidRPr="00A36A1E">
        <w:rPr>
          <w:rFonts w:ascii="Arial" w:hAnsi="Arial" w:cs="Arial"/>
        </w:rPr>
        <w:t>       </w:t>
      </w:r>
      <w:hyperlink r:id="rId6" w:history="1">
        <w:r w:rsidRPr="00A36A1E">
          <w:rPr>
            <w:rFonts w:ascii="Arial" w:hAnsi="Arial" w:cs="Arial"/>
          </w:rPr>
          <w:t>https://lib.herzen.spb.ru/p/newebs</w:t>
        </w:r>
      </w:hyperlink>
      <w:r w:rsidRPr="00A36A1E">
        <w:rPr>
          <w:rFonts w:ascii="Arial" w:hAnsi="Arial" w:cs="Arial"/>
        </w:rPr>
        <w:t>)</w:t>
      </w:r>
    </w:p>
    <w:p w14:paraId="13637460" w14:textId="77777777" w:rsidR="00A36A1E" w:rsidRPr="00A36A1E" w:rsidRDefault="00A36A1E" w:rsidP="00A36A1E">
      <w:pPr>
        <w:shd w:val="clear" w:color="auto" w:fill="FFFFFF"/>
        <w:spacing w:after="150" w:line="240" w:lineRule="auto"/>
        <w:rPr>
          <w:rFonts w:ascii="Arial" w:hAnsi="Arial" w:cs="Arial"/>
        </w:rPr>
      </w:pPr>
      <w:r w:rsidRPr="00A36A1E">
        <w:rPr>
          <w:rFonts w:ascii="Arial" w:hAnsi="Arial" w:cs="Arial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43FE8EBE" w14:textId="77777777" w:rsidR="00A36A1E" w:rsidRDefault="00A36A1E" w:rsidP="00A36A1E"/>
    <w:p w14:paraId="32F23CBD" w14:textId="77777777" w:rsidR="00A36A1E" w:rsidRPr="00A36A1E" w:rsidRDefault="00A36A1E" w:rsidP="00A36A1E">
      <w:pPr>
        <w:spacing w:after="300" w:line="240" w:lineRule="auto"/>
        <w:rPr>
          <w:rFonts w:ascii="Arial" w:hAnsi="Arial" w:cs="Arial"/>
        </w:rPr>
      </w:pPr>
      <w:r w:rsidRPr="00A36A1E">
        <w:rPr>
          <w:rFonts w:ascii="Arial" w:hAnsi="Arial" w:cs="Arial"/>
        </w:rPr>
        <w:br/>
      </w:r>
      <w:r w:rsidRPr="00A36A1E">
        <w:rPr>
          <w:rFonts w:ascii="Arial" w:hAnsi="Arial" w:cs="Arial"/>
        </w:rPr>
        <w:t xml:space="preserve">1) </w:t>
      </w:r>
      <w:r w:rsidRPr="00A36A1E">
        <w:rPr>
          <w:rFonts w:ascii="Arial" w:hAnsi="Arial" w:cs="Arial"/>
        </w:rPr>
        <w:t>Гостев Иван Михайлович</w:t>
      </w:r>
      <w:r w:rsidRPr="00A36A1E">
        <w:rPr>
          <w:rFonts w:ascii="Arial" w:hAnsi="Arial" w:cs="Arial"/>
        </w:rPr>
        <w:t xml:space="preserve">. </w:t>
      </w:r>
      <w:r w:rsidRPr="00A36A1E">
        <w:rPr>
          <w:rFonts w:ascii="Arial" w:hAnsi="Arial" w:cs="Arial"/>
        </w:rPr>
        <w:t xml:space="preserve">Операционные </w:t>
      </w:r>
      <w:proofErr w:type="gramStart"/>
      <w:r w:rsidRPr="00A36A1E">
        <w:rPr>
          <w:rFonts w:ascii="Arial" w:hAnsi="Arial" w:cs="Arial"/>
        </w:rPr>
        <w:t>системы :</w:t>
      </w:r>
      <w:proofErr w:type="gramEnd"/>
      <w:r w:rsidRPr="00A36A1E">
        <w:rPr>
          <w:rFonts w:ascii="Arial" w:hAnsi="Arial" w:cs="Arial"/>
        </w:rPr>
        <w:t xml:space="preserve"> учебник и практикум для вузов</w:t>
      </w:r>
      <w:r w:rsidRPr="00A36A1E">
        <w:rPr>
          <w:rFonts w:ascii="Arial" w:hAnsi="Arial" w:cs="Arial"/>
        </w:rPr>
        <w:t xml:space="preserve">. </w:t>
      </w:r>
    </w:p>
    <w:p w14:paraId="2FD51B47" w14:textId="77777777" w:rsidR="00A36A1E" w:rsidRDefault="00A36A1E" w:rsidP="00A36A1E">
      <w:pPr>
        <w:spacing w:after="300" w:line="240" w:lineRule="auto"/>
        <w:rPr>
          <w:rFonts w:ascii="Arial" w:hAnsi="Arial" w:cs="Arial"/>
        </w:rPr>
      </w:pPr>
      <w:r w:rsidRPr="00A36A1E">
        <w:rPr>
          <w:rFonts w:ascii="Arial" w:hAnsi="Arial" w:cs="Arial"/>
        </w:rPr>
        <w:t> Содержание курса представляет собой некоторые наиболее общие принципы построения операционных систем, которые были разработаны более 50 лет назад и практически не изменились за прошедшее время. Курс может быть полезен как студентам, обучающимся по информационным специальностям, так и всем, кто хочет понять, как организованы операционные системы.</w:t>
      </w:r>
    </w:p>
    <w:p w14:paraId="6D0F137A" w14:textId="77777777" w:rsidR="00A36A1E" w:rsidRDefault="00A36A1E" w:rsidP="00A36A1E">
      <w:pPr>
        <w:spacing w:after="300" w:line="240" w:lineRule="auto"/>
        <w:rPr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</w:rPr>
        <w:t xml:space="preserve">2) Толстобров Александр Павлович.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Архитектура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ЭВМ :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учебник для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спо</w:t>
      </w:r>
      <w:proofErr w:type="spellEnd"/>
    </w:p>
    <w:p w14:paraId="340E9424" w14:textId="77777777" w:rsidR="00A36A1E" w:rsidRDefault="00A36A1E" w:rsidP="00A36A1E">
      <w:pPr>
        <w:spacing w:after="300" w:line="240" w:lineRule="auto"/>
        <w:rPr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Курс посвящен рассмотрению архитектурных принципов построения ЭВМ: структуры центрального процессора, системы команд, организации ввода-вывода, управления памятью, способов повышения производительности ЭВМ. Большое внимание обращается на то, каким образом особенности построения компьютера вытекают из базовых принципов, которые сейчас принято называть фоннеймановскими, а реализуемую на их основе архитектуру ЭВМ — фоннеймановской архитектурой. Курс предназначен для использования в качестве учебного материала по дисциплинам, посвященным изучению архитектуры ЭВМ и вычислительных систем и являющимся вводными для цикла дисциплин, посвященных программированию и использованию вычислительной и микропроцессорной техники, изучаемым по образовательным программам, связанным с информационными технологиями.</w:t>
      </w:r>
    </w:p>
    <w:p w14:paraId="7EA6CDBD" w14:textId="77777777" w:rsidR="00A36A1E" w:rsidRDefault="00A36A1E" w:rsidP="00A36A1E">
      <w:pPr>
        <w:spacing w:after="300" w:line="240" w:lineRule="auto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9F9F9"/>
        </w:rPr>
        <w:t xml:space="preserve">3)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Лаврищева Екатерина Михайловна.</w:t>
      </w:r>
      <w:r>
        <w:rPr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Программная инженерия и технологии программирования сложных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систем :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учебник для вузов</w:t>
      </w:r>
    </w:p>
    <w:p w14:paraId="1D1D7993" w14:textId="77777777" w:rsidR="00A36A1E" w:rsidRDefault="00A36A1E" w:rsidP="00A36A1E">
      <w:pPr>
        <w:spacing w:after="300" w:line="240" w:lineRule="auto"/>
        <w:rPr>
          <w:color w:val="333333"/>
          <w:sz w:val="21"/>
          <w:szCs w:val="21"/>
          <w:shd w:val="clear" w:color="auto" w:fill="F9F9F9"/>
        </w:rPr>
      </w:pPr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В настоящем учебнике подробно рассмотрена история отечественной технологии программирования, теоретические ее аспекты и парадигмы программирования: модульная, объектно-компонентная и сервисная, а также методы разработки в них отдельных элементов, их сборки в систему с проведением верификации, тестирования систем и оценки качества, обозначены перспективы развития технологий компьютерных программ в направлении нанотехнологий. Инженерия программного обеспечения систем представлена областями знаний стандарта SWEBOK и линиями (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Product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Lines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) изготовления вариантов программных продуктов на основе моделей характеристик и готовых ресурсов (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Reuses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Assets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,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>Artifakts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9F9F9"/>
        </w:rPr>
        <w:t xml:space="preserve"> и др.).</w:t>
      </w:r>
    </w:p>
    <w:p w14:paraId="4AF9D9E4" w14:textId="77777777" w:rsidR="00A36A1E" w:rsidRDefault="00A36A1E" w:rsidP="00A36A1E">
      <w:pPr>
        <w:spacing w:after="300" w:line="240" w:lineRule="auto"/>
        <w:rPr>
          <w:color w:val="333333"/>
          <w:sz w:val="21"/>
          <w:szCs w:val="21"/>
          <w:shd w:val="clear" w:color="auto" w:fill="FFFFFF"/>
        </w:rPr>
      </w:pPr>
      <w:r>
        <w:rPr>
          <w:color w:val="333333"/>
          <w:sz w:val="21"/>
          <w:szCs w:val="21"/>
          <w:shd w:val="clear" w:color="auto" w:fill="F9F9F9"/>
        </w:rPr>
        <w:lastRenderedPageBreak/>
        <w:t xml:space="preserve">3)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Никулова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Г. А</w:t>
      </w:r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-технологии: введение в программирование на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: защита контента средствами JS и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CSS :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учебно-методическое пособие </w:t>
      </w:r>
    </w:p>
    <w:p w14:paraId="294F4065" w14:textId="77777777" w:rsidR="00A36A1E" w:rsidRDefault="00A36A1E" w:rsidP="00A36A1E">
      <w:pPr>
        <w:spacing w:after="300" w:line="240" w:lineRule="auto"/>
        <w:rPr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Учебно-методическое пособие «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-технологии. Введение в программирование на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: защита контента средствами JS и CSS» входит в состав УМК подготовке бакалавров по направлениям «Информационные системы и технологии», «Информационная безопасность», «Профессиональное обучение», «Информатика и вычислительная техника (Интеллектуальные системы обработки информации и управление)», «Педагогическое образование (с двумя профилями подготовки) (Информатика и математика)».Задачей пособия является формирование базовых знаний и навыков в программировании на языке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JavaScript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и посредством CSS и их закрепление на примерах решения задач защиты контента на страницах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-ресурсов. Рекомендовано также слушателям программ дополнительного профессионального образования соответствующего направления подготовки.</w:t>
      </w:r>
    </w:p>
    <w:p w14:paraId="49F6E411" w14:textId="77777777" w:rsidR="00A36A1E" w:rsidRDefault="00A36A1E" w:rsidP="00A36A1E">
      <w:pPr>
        <w:spacing w:after="300" w:line="240" w:lineRule="auto"/>
        <w:rPr>
          <w:color w:val="333333"/>
          <w:sz w:val="21"/>
          <w:szCs w:val="21"/>
          <w:shd w:val="clear" w:color="auto" w:fill="FFFFFF"/>
        </w:rPr>
      </w:pPr>
      <w:r w:rsidRPr="00A36A1E">
        <w:rPr>
          <w:color w:val="333333"/>
          <w:sz w:val="21"/>
          <w:szCs w:val="21"/>
          <w:shd w:val="clear" w:color="auto" w:fill="FFFFFF"/>
        </w:rPr>
        <w:t>4</w:t>
      </w:r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) </w:t>
      </w:r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Изюмов А. А., </w:t>
      </w:r>
      <w:proofErr w:type="spellStart"/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>Коцубинский</w:t>
      </w:r>
      <w:proofErr w:type="spellEnd"/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В. П., Шатохина А. О.</w:t>
      </w:r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>Информационные технологии: учебное пособие</w:t>
      </w:r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br/>
      </w:r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В учебном пособии представлены методы оптимизации поиска в Интернете, показаны основы работы в табличном редакторе </w:t>
      </w:r>
      <w:proofErr w:type="spellStart"/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>Excel</w:t>
      </w:r>
      <w:proofErr w:type="spellEnd"/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рассмотрены вопросы интеграции данных в СУБД и использования пакета математического моделирования </w:t>
      </w:r>
      <w:proofErr w:type="spellStart"/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>MathCAD</w:t>
      </w:r>
      <w:proofErr w:type="spellEnd"/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для научных вычислений. Для студентов-бакалавров, обучающихся по направлениям «Управление в технических системах», «Информатика и вычислительная техника», «Автоматизация технологических процессов и производств», а также для преподавателей и студентов высших учебных заведений.</w:t>
      </w:r>
    </w:p>
    <w:p w14:paraId="5058A921" w14:textId="77777777" w:rsidR="00757AA6" w:rsidRPr="00757AA6" w:rsidRDefault="00757AA6" w:rsidP="00A36A1E">
      <w:pPr>
        <w:spacing w:after="30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5)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Тузовский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Анатолий Федорович</w:t>
      </w:r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Проектирование и разработка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-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приложений :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учебник для вузов</w:t>
      </w:r>
    </w:p>
    <w:p w14:paraId="2C75F843" w14:textId="77777777" w:rsidR="00757AA6" w:rsidRPr="00757AA6" w:rsidRDefault="00757AA6" w:rsidP="00A36A1E">
      <w:pPr>
        <w:spacing w:after="30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В пособии рассматриваются современные интернет-технологии и их использование для создания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-приложений. Поясняются основные понятия и стандарты сети Интернет и реализованной на ее основе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-сети (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World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Wide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), состав программного обеспечения данной сети, логика работы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-приложений, основные подходы и технологии их разработки. В качестве примера подходов к разработке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-приложений рассматриваются технологии ASP.Net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Forms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и MVC. В заключительной главе пособия поясняются современные методы проектирования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web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-приложений и рекомендации по реализации их различных уровней.</w:t>
      </w:r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br/>
      </w:r>
    </w:p>
    <w:p w14:paraId="1F367237" w14:textId="7BBD75DC" w:rsidR="00757AA6" w:rsidRPr="00757AA6" w:rsidRDefault="00757AA6" w:rsidP="00A36A1E">
      <w:pPr>
        <w:spacing w:after="30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6)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Новожилов Олег Петрович</w:t>
      </w:r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Архитектура ЭВМ и вычислительных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систем :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учебник для </w:t>
      </w:r>
      <w:proofErr w:type="spell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спо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</w:p>
    <w:p w14:paraId="2E5F72E8" w14:textId="42EB47B3" w:rsidR="00757AA6" w:rsidRPr="00757AA6" w:rsidRDefault="00757AA6" w:rsidP="00A36A1E">
      <w:pPr>
        <w:spacing w:after="300" w:line="240" w:lineRule="auto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В пособии представлена информация о принципах построения и функционирования различных устройств современных компьютеров; о взаимодействии аппаратных и программных средств; о современных компьютерных технологиях; о конструктивном исполнении компьютерных устройств и комплектующих изделий; об основных тенденциях и направлениях развития современных компьютерных средств. Эта книга поможет хорошо разбираться в структурно-функциональной организации микропроцессоров, компьютеров, их систем, компьютерной памяти. Пособие дает целостное представление об основных концепциях и общих тенденциях развития компьютерной техники.</w:t>
      </w:r>
    </w:p>
    <w:p w14:paraId="77CCE92F" w14:textId="77777777" w:rsidR="00757AA6" w:rsidRPr="00757AA6" w:rsidRDefault="00757AA6" w:rsidP="00757AA6">
      <w:pPr>
        <w:pStyle w:val="1"/>
        <w:shd w:val="clear" w:color="auto" w:fill="FFFFFF"/>
        <w:spacing w:before="0" w:beforeAutospacing="0"/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</w:pP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7) </w:t>
      </w: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Черникова О. С., Карманов В. С.</w:t>
      </w: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</w:t>
      </w: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Компьютерное моделирование: учебное пособие</w:t>
      </w:r>
    </w:p>
    <w:p w14:paraId="572A70D2" w14:textId="6DD569BA" w:rsidR="00757AA6" w:rsidRDefault="00757AA6" w:rsidP="00A36A1E">
      <w:pPr>
        <w:spacing w:after="300" w:line="240" w:lineRule="auto"/>
        <w:rPr>
          <w:color w:val="333333"/>
          <w:sz w:val="21"/>
          <w:szCs w:val="21"/>
          <w:shd w:val="clear" w:color="auto" w:fill="FFFFFF"/>
        </w:rPr>
      </w:pPr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Учебное пособие содержит теоретический материал, схемы реализации работ и практические задания по трем темам: «Моделирование системы обслуживания клиентов», «Моделирование и оптимизация работы сервера», «Моделирование системы управления цепями поставок», включенным в дисциплину «Компьютерное моделирование», и дополнено иллюстрированными примерами выполнения работ в программном пакете </w:t>
      </w:r>
      <w:proofErr w:type="spellStart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>AnyLogic</w:t>
      </w:r>
      <w:proofErr w:type="spellEnd"/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Учебное пособие предназначено для студентов, обучающихся по направлению 02.03.03 «Математическое обеспечение и администрирование информационных систем», может быть </w:t>
      </w:r>
      <w:r w:rsidRPr="00757AA6">
        <w:rPr>
          <w:rFonts w:ascii="Helvetica" w:hAnsi="Helvetica"/>
          <w:color w:val="333333"/>
          <w:sz w:val="21"/>
          <w:szCs w:val="21"/>
          <w:shd w:val="clear" w:color="auto" w:fill="FFFFFF"/>
        </w:rPr>
        <w:lastRenderedPageBreak/>
        <w:t>интересно аспирантам, преподавателям, а также всем желающим повысить свой профессиональный уровень в области имитационного моделирования</w:t>
      </w:r>
    </w:p>
    <w:p w14:paraId="5BCDB767" w14:textId="1C7D8976" w:rsidR="00757AA6" w:rsidRPr="00757AA6" w:rsidRDefault="00757AA6" w:rsidP="00757AA6">
      <w:pPr>
        <w:pStyle w:val="1"/>
        <w:shd w:val="clear" w:color="auto" w:fill="FFFFFF"/>
        <w:spacing w:before="0" w:beforeAutospacing="0"/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</w:pP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8. </w:t>
      </w: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Архипова Т. Н., Кондратьева А. А.</w:t>
      </w: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</w:t>
      </w: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Компьютерная графика: учебное пособие</w:t>
      </w:r>
    </w:p>
    <w:p w14:paraId="170F3DE6" w14:textId="3296F3EA" w:rsidR="00757AA6" w:rsidRPr="00757AA6" w:rsidRDefault="00757AA6" w:rsidP="00757AA6">
      <w:pPr>
        <w:pStyle w:val="1"/>
        <w:shd w:val="clear" w:color="auto" w:fill="FFFFFF"/>
        <w:spacing w:before="0" w:beforeAutospacing="0"/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</w:pP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Современные профессии технической направленности требуют знаний компьютерной графики. Данное учебное пособие дает представление о геометрических построениях на плоскости, 2D моделировании в системе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AutoCAD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, а также затрагивает вопросы создания и редактирования текста. Основными задачами учебного пособия являются обучение начальным теоретическим знаниям компьютерной графики; ознакомление студентов с возможностями графического редактора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AutoCAD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; развитие творческого отношения к процессу обучения компьютерной графике. Пособие предназначено для бакалавров, магистров и преподавателей технических направлений подготовки, а также направления «Дизайн». Современные профессии технической направленности требуют знаний компьютерной графики. Данное учебное пособие дает представление о геометрических построениях на плоскости, 2D моделировании в системе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AutoCAD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, а также затрагивает вопросы создания и редактирования текста. Основными задачами учебного пособия являются обучение начальным теоретическим знаниям компьютерной графики; ознакомление студентов с возможностями графического редактора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AutoCAD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; развитие творческого отношения к процессу обучения компьютерной графике. Пособие предназначено для бакалавров, магистров и преподавателей технических направлений подготовки, а также направления «Дизайн».</w:t>
      </w:r>
    </w:p>
    <w:p w14:paraId="0ACA0C37" w14:textId="34799280" w:rsidR="00757AA6" w:rsidRPr="00757AA6" w:rsidRDefault="00757AA6" w:rsidP="00757AA6">
      <w:pPr>
        <w:pStyle w:val="1"/>
        <w:shd w:val="clear" w:color="auto" w:fill="FFFFFF"/>
        <w:spacing w:before="0" w:beforeAutospacing="0"/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</w:pP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9. </w:t>
      </w: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Русина Л.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Г.Вычислительная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математика. Численные методы интегрирования и решения дифференциальных уравнений и систем </w:t>
      </w:r>
    </w:p>
    <w:p w14:paraId="36F60C0C" w14:textId="6596220D" w:rsidR="00757AA6" w:rsidRDefault="00757AA6" w:rsidP="00757AA6">
      <w:pPr>
        <w:pStyle w:val="1"/>
        <w:shd w:val="clear" w:color="auto" w:fill="FFFFFF"/>
        <w:spacing w:before="0" w:beforeAutospacing="0"/>
        <w:rPr>
          <w:rFonts w:asciiTheme="minorHAnsi" w:eastAsiaTheme="minorHAnsi" w:hAnsiTheme="minorHAnsi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</w:pP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Настоящее пособие служит руководством студентам для самостоятельного выполнения заданий и составлено в соответствии с программами: «Вычислительная математика», «Информатика», «Моделирование систем и процессов», «Информатика и информационные технологии», может быть полезно студентам инженерных специальностей и направлений. Пособие содержит краткий теоретический материал по темам: «Численное интегрирование», «Численное решение дифференциальных уравнений и систем», «Метод сеток решения волнового уравнения», «Решение жестких задач», «Обзор математических программных систем». В пособии даны рекомендации использования программы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Mathcad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(Professional-2000) и приводятся подробные решения задач по данным темам с детальными пояснениями и с алгоритмами решений на языке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Python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.</w:t>
      </w:r>
    </w:p>
    <w:p w14:paraId="6A31C226" w14:textId="56FDDB53" w:rsidR="00757AA6" w:rsidRDefault="00757AA6" w:rsidP="00757AA6">
      <w:pPr>
        <w:pStyle w:val="1"/>
        <w:shd w:val="clear" w:color="auto" w:fill="FFFFFF"/>
        <w:spacing w:before="0" w:beforeAutospacing="0"/>
        <w:rPr>
          <w:rFonts w:ascii="Roboto" w:hAnsi="Roboto"/>
          <w:b w:val="0"/>
          <w:bCs w:val="0"/>
          <w:color w:val="616580"/>
        </w:rPr>
      </w:pPr>
      <w:r>
        <w:rPr>
          <w:rFonts w:asciiTheme="minorHAnsi" w:eastAsiaTheme="minorHAnsi" w:hAnsiTheme="minorHAnsi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10.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Макшанов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А. В., Журавлев А. Е.,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Тындыкарь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Л. Н.</w:t>
      </w:r>
      <w:r>
        <w:rPr>
          <w:rFonts w:asciiTheme="minorHAnsi" w:eastAsiaTheme="minorHAnsi" w:hAnsiTheme="minorHAnsi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</w:t>
      </w:r>
      <w:bookmarkStart w:id="0" w:name="_GoBack"/>
      <w:bookmarkEnd w:id="0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Большие данные.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Big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Data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: Учебник для вузов</w:t>
      </w:r>
    </w:p>
    <w:p w14:paraId="4BA5395E" w14:textId="3837FD51" w:rsidR="00757AA6" w:rsidRPr="00757AA6" w:rsidRDefault="00757AA6" w:rsidP="00757AA6">
      <w:pPr>
        <w:pStyle w:val="1"/>
        <w:shd w:val="clear" w:color="auto" w:fill="FFFFFF"/>
        <w:spacing w:before="0" w:beforeAutospacing="0"/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</w:pPr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В учебнике излагается содержание курса по дисциплине «Теория информационных процессов и систем», а также дополнительные материалы по дисциплинам «Системы поддержки принятия решений» и «Технологии интеллектуального анализа данных» по направлению «Информационные системы и технологии», в том числе профиля «Информационные технологии на транспорте» в соответствии с ФГОС 3++. Рассмотрены основные аспекты работы с большими данными, методы и технологии «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Big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Data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» и «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Data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Mining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», а также общие приемы интеллектуального анализа данных. В качестве инструментальной среды разработки используется интегрированный пакет </w:t>
      </w:r>
      <w:proofErr w:type="spellStart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>MatLab</w:t>
      </w:r>
      <w:proofErr w:type="spellEnd"/>
      <w:r w:rsidRPr="00757AA6">
        <w:rPr>
          <w:rFonts w:ascii="Helvetica" w:eastAsiaTheme="minorHAnsi" w:hAnsi="Helvetica" w:cstheme="minorBidi"/>
          <w:b w:val="0"/>
          <w:bCs w:val="0"/>
          <w:color w:val="333333"/>
          <w:kern w:val="0"/>
          <w:sz w:val="21"/>
          <w:szCs w:val="21"/>
          <w:shd w:val="clear" w:color="auto" w:fill="FFFFFF"/>
          <w:lang w:eastAsia="en-US"/>
        </w:rPr>
        <w:t xml:space="preserve"> версий 6.5 и выше. Учебник предназначен для формирования у студентов компетенций в соответствии с рабочей программой дисциплины «Теория информационных процессов и систем». Материалы учебника также могут быть использованы студентами, магистрантами и аспирантами других инженерно-технических специальностей, желающими самостоятельно изучить вопросы анализа больших данных.</w:t>
      </w:r>
    </w:p>
    <w:p w14:paraId="028B2249" w14:textId="04434E82" w:rsidR="00757AA6" w:rsidRDefault="00757AA6" w:rsidP="00757AA6">
      <w:pPr>
        <w:pStyle w:val="1"/>
        <w:shd w:val="clear" w:color="auto" w:fill="FFFFFF"/>
        <w:spacing w:before="0" w:beforeAutospacing="0"/>
        <w:rPr>
          <w:rFonts w:ascii="Roboto" w:hAnsi="Roboto"/>
          <w:b w:val="0"/>
          <w:bCs w:val="0"/>
          <w:color w:val="616580"/>
        </w:rPr>
      </w:pPr>
    </w:p>
    <w:p w14:paraId="641835BE" w14:textId="2EAF04F7" w:rsidR="00757AA6" w:rsidRDefault="00757AA6" w:rsidP="00757AA6">
      <w:pPr>
        <w:pStyle w:val="1"/>
        <w:shd w:val="clear" w:color="auto" w:fill="FFFFFF"/>
        <w:spacing w:before="0" w:beforeAutospacing="0"/>
        <w:rPr>
          <w:rFonts w:ascii="Roboto" w:hAnsi="Roboto"/>
          <w:b w:val="0"/>
          <w:bCs w:val="0"/>
          <w:color w:val="616580"/>
        </w:rPr>
      </w:pPr>
    </w:p>
    <w:p w14:paraId="2F45F723" w14:textId="7E01DF3A" w:rsidR="00757AA6" w:rsidRPr="00757AA6" w:rsidRDefault="00757AA6" w:rsidP="00A36A1E">
      <w:pPr>
        <w:spacing w:after="300" w:line="240" w:lineRule="auto"/>
        <w:rPr>
          <w:color w:val="616580"/>
          <w:sz w:val="21"/>
          <w:szCs w:val="21"/>
          <w:shd w:val="clear" w:color="auto" w:fill="FFFFFF"/>
        </w:rPr>
      </w:pPr>
    </w:p>
    <w:p w14:paraId="3A97D50F" w14:textId="77777777" w:rsidR="00757AA6" w:rsidRPr="00757AA6" w:rsidRDefault="00757AA6" w:rsidP="00A36A1E">
      <w:pPr>
        <w:spacing w:after="300" w:line="240" w:lineRule="auto"/>
        <w:rPr>
          <w:color w:val="333333"/>
          <w:sz w:val="21"/>
          <w:szCs w:val="21"/>
          <w:shd w:val="clear" w:color="auto" w:fill="FFFFFF"/>
        </w:rPr>
      </w:pPr>
    </w:p>
    <w:p w14:paraId="2E78D7A2" w14:textId="52C301F1" w:rsidR="00A36A1E" w:rsidRPr="00757AA6" w:rsidRDefault="00A36A1E" w:rsidP="00A36A1E">
      <w:pPr>
        <w:spacing w:after="300" w:line="240" w:lineRule="auto"/>
        <w:rPr>
          <w:color w:val="333333"/>
          <w:sz w:val="21"/>
          <w:szCs w:val="21"/>
          <w:shd w:val="clear" w:color="auto" w:fill="F9F9F9"/>
        </w:rPr>
      </w:pPr>
      <w:r w:rsidRPr="00A36A1E">
        <w:rPr>
          <w:rFonts w:ascii="Helvetica" w:hAnsi="Helvetica"/>
          <w:color w:val="333333"/>
          <w:sz w:val="21"/>
          <w:szCs w:val="21"/>
          <w:shd w:val="clear" w:color="auto" w:fill="FFFFFF"/>
        </w:rPr>
        <w:br/>
      </w:r>
    </w:p>
    <w:p w14:paraId="71D345B9" w14:textId="77777777" w:rsidR="00A36A1E" w:rsidRDefault="00A36A1E"/>
    <w:sectPr w:rsidR="00A36A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B5402"/>
    <w:multiLevelType w:val="hybridMultilevel"/>
    <w:tmpl w:val="2668C0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A2211"/>
    <w:multiLevelType w:val="multilevel"/>
    <w:tmpl w:val="38C66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89"/>
    <w:rsid w:val="00046589"/>
    <w:rsid w:val="00757AA6"/>
    <w:rsid w:val="009B68A8"/>
    <w:rsid w:val="00A36A1E"/>
    <w:rsid w:val="00FE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73F6"/>
  <w15:chartTrackingRefBased/>
  <w15:docId w15:val="{280C5431-792F-45CD-BE30-3DED3DAA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6A1E"/>
  </w:style>
  <w:style w:type="paragraph" w:styleId="1">
    <w:name w:val="heading 1"/>
    <w:basedOn w:val="a"/>
    <w:link w:val="10"/>
    <w:uiPriority w:val="9"/>
    <w:qFormat/>
    <w:rsid w:val="00A36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6A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36A1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36A1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36A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b.herzen.spb.ru/p/newebs" TargetMode="External"/><Relationship Id="rId5" Type="http://schemas.openxmlformats.org/officeDocument/2006/relationships/hyperlink" Target="https://lib.herzen.spb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1527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Киняев</dc:creator>
  <cp:keywords/>
  <dc:description/>
  <cp:lastModifiedBy>Илья Киняев</cp:lastModifiedBy>
  <cp:revision>3</cp:revision>
  <cp:lastPrinted>2025-03-07T00:22:00Z</cp:lastPrinted>
  <dcterms:created xsi:type="dcterms:W3CDTF">2025-03-06T23:50:00Z</dcterms:created>
  <dcterms:modified xsi:type="dcterms:W3CDTF">2025-03-07T00:23:00Z</dcterms:modified>
</cp:coreProperties>
</file>