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26"/>
          <w:szCs w:val="26"/>
        </w:rPr>
        <w:t xml:space="preserve">Raccoon Manufacturing India Pvt. Ltd.</w:t>
      </w:r>
    </w:p>
    <w:p>
      <w:pPr>
        <w:spacing w:after="400"/>
      </w:pPr>
      <w:r>
        <w:rPr>
          <w:color w:val="595959"/>
          <w:sz w:val="21"/>
          <w:szCs w:val="21"/>
        </w:rPr>
        <w:t xml:space="preserve">Procurement &amp; Vendor Management</w:t>
      </w:r>
    </w:p>
    <w:p>
      <w:pPr>
        <w:spacing w:after="200" w:before="600"/>
      </w:pPr>
      <w:r>
        <w:rPr>
          <w:b/>
          <w:bCs/>
          <w:color w:val="1F3864"/>
          <w:sz w:val="40"/>
          <w:szCs w:val="40"/>
        </w:rPr>
        <w:t xml:space="preserve">Vendor Contract Negotiation Playbook — FY2026</w:t>
      </w:r>
    </w:p>
    <w:p>
      <w:pPr>
        <w:spacing w:after="600"/>
      </w:pPr>
      <w:r>
        <w:rPr>
          <w:i/>
          <w:iCs/>
          <w:color w:val="404040"/>
          <w:sz w:val="22"/>
          <w:szCs w:val="22"/>
        </w:rPr>
        <w:t xml:space="preserve">Annual SaaS &amp; Vendor Services Contracting — Negotiation Standards, Guardrails and Escalation Protocol</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7300"/>
            <w:shd w:fill="1F3864" w:val="clear"/>
            <w:tcMar>
              <w:top w:type="dxa" w:w="80"/>
              <w:left w:type="dxa" w:w="120"/>
              <w:bottom w:type="dxa" w:w="80"/>
              <w:right w:type="dxa" w:w="120"/>
            </w:tcMar>
            <w:vAlign w:val="center"/>
          </w:tcPr>
          <w:p>
            <w:pPr>
              <w:jc w:val="left"/>
            </w:pPr>
            <w:r>
              <w:rPr>
                <w:b/>
                <w:bCs/>
                <w:color w:val="FFFFFF"/>
                <w:sz w:val="20"/>
                <w:szCs w:val="20"/>
              </w:rPr>
              <w:t xml:space="preserve">Detail</w:t>
            </w:r>
          </w:p>
        </w:tc>
      </w:tr>
      <w:tr>
        <w:tc>
          <w:tcPr>
            <w:tcW w:type="dxa" w:w="3200"/>
            <w:shd w:fill="F2F2F2" w:val="clear"/>
            <w:tcMar>
              <w:top w:type="dxa" w:w="80"/>
              <w:left w:type="dxa" w:w="120"/>
              <w:bottom w:type="dxa" w:w="80"/>
              <w:right w:type="dxa" w:w="120"/>
            </w:tcMar>
            <w:vAlign w:val="center"/>
          </w:tcPr>
          <w:p>
            <w:pPr>
              <w:jc w:val="left"/>
            </w:pPr>
            <w:r>
              <w:rPr>
                <w:b/>
                <w:bCs/>
                <w:color w:val="1A1A1A"/>
                <w:sz w:val="20"/>
                <w:szCs w:val="20"/>
              </w:rPr>
              <w:t xml:space="preserve">Document Owner</w:t>
            </w:r>
          </w:p>
        </w:tc>
        <w:tc>
          <w:tcPr>
            <w:tcW w:type="dxa" w:w="7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Procurement &amp; Vendor Management (Head of Procurement)</w:t>
            </w:r>
          </w:p>
        </w:tc>
      </w:tr>
      <w:tr>
        <w:tc>
          <w:tcPr>
            <w:tcW w:type="dxa" w:w="3200"/>
            <w:shd w:fill="FFFFFF" w:val="clear"/>
            <w:tcMar>
              <w:top w:type="dxa" w:w="80"/>
              <w:left w:type="dxa" w:w="120"/>
              <w:bottom w:type="dxa" w:w="80"/>
              <w:right w:type="dxa" w:w="120"/>
            </w:tcMar>
            <w:vAlign w:val="center"/>
          </w:tcPr>
          <w:p>
            <w:pPr>
              <w:jc w:val="left"/>
            </w:pPr>
            <w:r>
              <w:rPr>
                <w:b/>
                <w:bCs/>
                <w:color w:val="1A1A1A"/>
                <w:sz w:val="20"/>
                <w:szCs w:val="20"/>
              </w:rPr>
              <w:t xml:space="preserve">Applies To</w:t>
            </w:r>
          </w:p>
        </w:tc>
        <w:tc>
          <w:tcPr>
            <w:tcW w:type="dxa" w:w="7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All annual SaaS subscriptions and external vendor services contracts</w:t>
            </w:r>
          </w:p>
        </w:tc>
      </w:tr>
      <w:tr>
        <w:tc>
          <w:tcPr>
            <w:tcW w:type="dxa" w:w="3200"/>
            <w:shd w:fill="F2F2F2" w:val="clear"/>
            <w:tcMar>
              <w:top w:type="dxa" w:w="80"/>
              <w:left w:type="dxa" w:w="120"/>
              <w:bottom w:type="dxa" w:w="80"/>
              <w:right w:type="dxa" w:w="120"/>
            </w:tcMar>
            <w:vAlign w:val="center"/>
          </w:tcPr>
          <w:p>
            <w:pPr>
              <w:jc w:val="left"/>
            </w:pPr>
            <w:r>
              <w:rPr>
                <w:b/>
                <w:bCs/>
                <w:color w:val="1A1A1A"/>
                <w:sz w:val="20"/>
                <w:szCs w:val="20"/>
              </w:rPr>
              <w:t xml:space="preserve">Effective Period</w:t>
            </w:r>
          </w:p>
        </w:tc>
        <w:tc>
          <w:tcPr>
            <w:tcW w:type="dxa" w:w="7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FY2026 (1 April 2026 – 31 March 2027)</w:t>
            </w:r>
          </w:p>
        </w:tc>
      </w:tr>
      <w:tr>
        <w:tc>
          <w:tcPr>
            <w:tcW w:type="dxa" w:w="3200"/>
            <w:shd w:fill="FFFFFF" w:val="clear"/>
            <w:tcMar>
              <w:top w:type="dxa" w:w="80"/>
              <w:left w:type="dxa" w:w="120"/>
              <w:bottom w:type="dxa" w:w="80"/>
              <w:right w:type="dxa" w:w="120"/>
            </w:tcMar>
            <w:vAlign w:val="center"/>
          </w:tcPr>
          <w:p>
            <w:pPr>
              <w:jc w:val="left"/>
            </w:pPr>
            <w:r>
              <w:rPr>
                <w:b/>
                <w:bCs/>
                <w:color w:val="1A1A1A"/>
                <w:sz w:val="20"/>
                <w:szCs w:val="20"/>
              </w:rPr>
              <w:t xml:space="preserve">Classification</w:t>
            </w:r>
          </w:p>
        </w:tc>
        <w:tc>
          <w:tcPr>
            <w:tcW w:type="dxa" w:w="7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Confidential — Internal Use Only</w:t>
            </w:r>
          </w:p>
        </w:tc>
      </w:tr>
      <w:tr>
        <w:tc>
          <w:tcPr>
            <w:tcW w:type="dxa" w:w="3200"/>
            <w:shd w:fill="F2F2F2" w:val="clear"/>
            <w:tcMar>
              <w:top w:type="dxa" w:w="80"/>
              <w:left w:type="dxa" w:w="120"/>
              <w:bottom w:type="dxa" w:w="80"/>
              <w:right w:type="dxa" w:w="120"/>
            </w:tcMar>
            <w:vAlign w:val="center"/>
          </w:tcPr>
          <w:p>
            <w:pPr>
              <w:jc w:val="left"/>
            </w:pPr>
            <w:r>
              <w:rPr>
                <w:b/>
                <w:bCs/>
                <w:color w:val="1A1A1A"/>
                <w:sz w:val="20"/>
                <w:szCs w:val="20"/>
              </w:rPr>
              <w:t xml:space="preserve">Version</w:t>
            </w:r>
          </w:p>
        </w:tc>
        <w:tc>
          <w:tcPr>
            <w:tcW w:type="dxa" w:w="7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1.0</w:t>
            </w:r>
          </w:p>
        </w:tc>
      </w:tr>
      <w:tr>
        <w:tc>
          <w:tcPr>
            <w:tcW w:type="dxa" w:w="3200"/>
            <w:shd w:fill="FFFFFF" w:val="clear"/>
            <w:tcMar>
              <w:top w:type="dxa" w:w="80"/>
              <w:left w:type="dxa" w:w="120"/>
              <w:bottom w:type="dxa" w:w="80"/>
              <w:right w:type="dxa" w:w="120"/>
            </w:tcMar>
            <w:vAlign w:val="center"/>
          </w:tcPr>
          <w:p>
            <w:pPr>
              <w:jc w:val="left"/>
            </w:pPr>
            <w:r>
              <w:rPr>
                <w:b/>
                <w:bCs/>
                <w:color w:val="1A1A1A"/>
                <w:sz w:val="20"/>
                <w:szCs w:val="20"/>
              </w:rPr>
              <w:t xml:space="preserve">Review Cycle</w:t>
            </w:r>
          </w:p>
        </w:tc>
        <w:tc>
          <w:tcPr>
            <w:tcW w:type="dxa" w:w="7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Annually, or upon material change in vendor risk posture or finance/legal policy</w:t>
            </w:r>
          </w:p>
        </w:tc>
      </w:tr>
      <w:tr>
        <w:tc>
          <w:tcPr>
            <w:tcW w:type="dxa" w:w="3200"/>
            <w:shd w:fill="F2F2F2" w:val="clear"/>
            <w:tcMar>
              <w:top w:type="dxa" w:w="80"/>
              <w:left w:type="dxa" w:w="120"/>
              <w:bottom w:type="dxa" w:w="80"/>
              <w:right w:type="dxa" w:w="120"/>
            </w:tcMar>
            <w:vAlign w:val="center"/>
          </w:tcPr>
          <w:p>
            <w:pPr>
              <w:jc w:val="left"/>
            </w:pPr>
            <w:r>
              <w:rPr>
                <w:b/>
                <w:bCs/>
                <w:color w:val="1A1A1A"/>
                <w:sz w:val="20"/>
                <w:szCs w:val="20"/>
              </w:rPr>
              <w:t xml:space="preserve">Approving Function</w:t>
            </w:r>
          </w:p>
        </w:tc>
        <w:tc>
          <w:tcPr>
            <w:tcW w:type="dxa" w:w="7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Procurement, Finance, and Legal &amp; Compliance</w:t>
            </w:r>
          </w:p>
        </w:tc>
      </w:tr>
    </w:tbl>
    <w:p>
      <w:pPr>
        <w:pageBreakBefore/>
      </w:pPr>
    </w:p>
    <w:p>
      <w:pPr>
        <w:pStyle w:val="Heading1"/>
        <w:pBdr>
          <w:bottom w:val="single" w:color="1F3864" w:sz="8" w:space="4"/>
        </w:pBdr>
        <w:spacing w:after="160" w:before="360"/>
      </w:pPr>
      <w:r>
        <w:rPr>
          <w:b/>
          <w:bCs/>
          <w:color w:val="1F3864"/>
          <w:sz w:val="30"/>
          <w:szCs w:val="30"/>
        </w:rPr>
        <w:t xml:space="preserve">1. Purpose &amp; Scope</w:t>
      </w:r>
    </w:p>
    <w:p>
      <w:pPr>
        <w:spacing w:after="120"/>
      </w:pPr>
      <w:r>
        <w:rPr>
          <w:sz w:val="21"/>
          <w:szCs w:val="21"/>
        </w:rPr>
        <w:t xml:space="preserve">This playbook establishes the mandatory negotiation standards to be followed by Raccoon Manufacturing India Pvt. Ltd. personnel, category managers, and any negotiation agent (human or automated) when negotiating annual SaaS subscriptions and external vendor services contracts on behalf of the company. It defines non-negotiable commercial and legal guardrails (“Hard Constraints”), preferred negotiation positions (“Soft Preferences”), permitted trade-offs, and the escalation path to be followed when a vendor's proposal falls outside acceptable parameters.</w:t>
      </w:r>
    </w:p>
    <w:p>
      <w:pPr>
        <w:spacing w:after="120"/>
      </w:pPr>
      <w:r>
        <w:rPr>
          <w:sz w:val="21"/>
          <w:szCs w:val="21"/>
        </w:rPr>
        <w:t xml:space="preserve">This document is binding on all procurement negotiators, category managers, and any AI-assisted or automated negotiation tooling used in vendor discussions. It does not override statutory requirements, existing Master Service Agreements, or specific board-approved exceptions.</w:t>
      </w:r>
    </w:p>
    <w:p>
      <w:pPr>
        <w:pStyle w:val="Heading2"/>
        <w:spacing w:after="120" w:before="260"/>
      </w:pPr>
      <w:r>
        <w:rPr>
          <w:b/>
          <w:bCs/>
          <w:color w:val="1F3864"/>
          <w:sz w:val="24"/>
          <w:szCs w:val="24"/>
        </w:rPr>
        <w:t xml:space="preserve">1.1 Objectives</w:t>
      </w:r>
    </w:p>
    <w:p>
      <w:pPr>
        <w:pStyle w:val="ListParagraph"/>
        <w:numPr>
          <w:ilvl w:val="0"/>
          <w:numId w:val="1"/>
        </w:numPr>
        <w:spacing w:after="60"/>
      </w:pPr>
      <w:r>
        <w:rPr>
          <w:sz w:val="21"/>
          <w:szCs w:val="21"/>
        </w:rPr>
        <w:t xml:space="preserve">Protect the company from unfavourable cost escalation, cash-flow risk, and exit lock-in.</w:t>
      </w:r>
    </w:p>
    <w:p>
      <w:pPr>
        <w:pStyle w:val="ListParagraph"/>
        <w:numPr>
          <w:ilvl w:val="0"/>
          <w:numId w:val="1"/>
        </w:numPr>
        <w:spacing w:after="60"/>
      </w:pPr>
      <w:r>
        <w:rPr>
          <w:sz w:val="21"/>
          <w:szCs w:val="21"/>
        </w:rPr>
        <w:t xml:space="preserve">Ensure consistent, defensible negotiation positions across all vendor categories.</w:t>
      </w:r>
    </w:p>
    <w:p>
      <w:pPr>
        <w:pStyle w:val="ListParagraph"/>
        <w:numPr>
          <w:ilvl w:val="0"/>
          <w:numId w:val="1"/>
        </w:numPr>
        <w:spacing w:after="60"/>
      </w:pPr>
      <w:r>
        <w:rPr>
          <w:sz w:val="21"/>
          <w:szCs w:val="21"/>
        </w:rPr>
        <w:t xml:space="preserve">Clearly separate terms that can be accepted autonomously from terms that require human/functional approval.</w:t>
      </w:r>
    </w:p>
    <w:p>
      <w:pPr>
        <w:pStyle w:val="ListParagraph"/>
        <w:numPr>
          <w:ilvl w:val="0"/>
          <w:numId w:val="1"/>
        </w:numPr>
        <w:spacing w:after="60"/>
      </w:pPr>
      <w:r>
        <w:rPr>
          <w:sz w:val="21"/>
          <w:szCs w:val="21"/>
        </w:rPr>
        <w:t xml:space="preserve">Provide a documented audit trail for every negotiated deviation from standard terms.</w:t>
      </w:r>
    </w:p>
    <w:p>
      <w:pPr>
        <w:pStyle w:val="Heading1"/>
        <w:pBdr>
          <w:bottom w:val="single" w:color="1F3864" w:sz="8" w:space="4"/>
        </w:pBdr>
        <w:spacing w:after="160" w:before="360"/>
      </w:pPr>
      <w:r>
        <w:rPr>
          <w:b/>
          <w:bCs/>
          <w:color w:val="1F3864"/>
          <w:sz w:val="30"/>
          <w:szCs w:val="30"/>
        </w:rPr>
        <w:t xml:space="preserve">2. Hard Constraints — Never Violate</w:t>
      </w:r>
    </w:p>
    <w:p>
      <w:pPr>
        <w:spacing w:after="120"/>
      </w:pPr>
      <w:r>
        <w:rPr>
          <w:sz w:val="21"/>
          <w:szCs w:val="21"/>
        </w:rPr>
        <w:t xml:space="preserve">The following constraints represent the outer boundary of acceptable contract terms. They must never be automatically accepted or waived by a negotiator or negotiation agent without the specified approval. Any vendor proposal that breaches a Hard Constraint must be logged as a violation and routed through the Escalation Protocol in Section 5.</w:t>
      </w:r>
    </w:p>
    <w:p>
      <w:pPr>
        <w:spacing w:after="80" w:before="200"/>
      </w:pPr>
      <w:r>
        <w:rPr>
          <w:b/>
          <w:bCs/>
          <w:color w:val="1A1A1A"/>
          <w:sz w:val="22"/>
          <w:szCs w:val="22"/>
        </w:rPr>
        <w:t xml:space="preserve">2.1 Annual Price Escalation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500"/>
        <w:gridCol w:w="29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2500"/>
            <w:shd w:fill="1F3864" w:val="clear"/>
            <w:tcMar>
              <w:top w:type="dxa" w:w="80"/>
              <w:left w:type="dxa" w:w="120"/>
              <w:bottom w:type="dxa" w:w="80"/>
              <w:right w:type="dxa" w:w="120"/>
            </w:tcMar>
            <w:vAlign w:val="center"/>
          </w:tcPr>
          <w:p>
            <w:pPr>
              <w:jc w:val="left"/>
            </w:pPr>
            <w:r>
              <w:rPr>
                <w:b/>
                <w:bCs/>
                <w:color w:val="FFFFFF"/>
                <w:sz w:val="20"/>
                <w:szCs w:val="20"/>
              </w:rPr>
              <w:t xml:space="preserve">Target</w:t>
            </w:r>
          </w:p>
        </w:tc>
        <w:tc>
          <w:tcPr>
            <w:tcW w:type="dxa" w:w="2500"/>
            <w:shd w:fill="1F3864" w:val="clear"/>
            <w:tcMar>
              <w:top w:type="dxa" w:w="80"/>
              <w:left w:type="dxa" w:w="120"/>
              <w:bottom w:type="dxa" w:w="80"/>
              <w:right w:type="dxa" w:w="120"/>
            </w:tcMar>
            <w:vAlign w:val="center"/>
          </w:tcPr>
          <w:p>
            <w:pPr>
              <w:jc w:val="left"/>
            </w:pPr>
            <w:r>
              <w:rPr>
                <w:b/>
                <w:bCs/>
                <w:color w:val="FFFFFF"/>
                <w:sz w:val="20"/>
                <w:szCs w:val="20"/>
              </w:rPr>
              <w:t xml:space="preserve">Acceptable Range</w:t>
            </w:r>
          </w:p>
        </w:tc>
        <w:tc>
          <w:tcPr>
            <w:tcW w:type="dxa" w:w="2900"/>
            <w:shd w:fill="1F3864" w:val="clear"/>
            <w:tcMar>
              <w:top w:type="dxa" w:w="80"/>
              <w:left w:type="dxa" w:w="120"/>
              <w:bottom w:type="dxa" w:w="80"/>
              <w:right w:type="dxa" w:w="120"/>
            </w:tcMar>
            <w:vAlign w:val="center"/>
          </w:tcPr>
          <w:p>
            <w:pPr>
              <w:jc w:val="left"/>
            </w:pPr>
            <w:r>
              <w:rPr>
                <w:b/>
                <w:bCs/>
                <w:color w:val="FFFFFF"/>
                <w:sz w:val="20"/>
                <w:szCs w:val="20"/>
              </w:rPr>
              <w:t xml:space="preserve">Escalation Trigger</w:t>
            </w:r>
          </w:p>
        </w:tc>
      </w:tr>
      <w:tr>
        <w:tc>
          <w:tcPr>
            <w:tcW w:type="dxa" w:w="2600"/>
            <w:shd w:fill="F2F2F2" w:val="clear"/>
            <w:tcMar>
              <w:top w:type="dxa" w:w="80"/>
              <w:left w:type="dxa" w:w="120"/>
              <w:bottom w:type="dxa" w:w="80"/>
              <w:right w:type="dxa" w:w="120"/>
            </w:tcMar>
            <w:vAlign w:val="center"/>
          </w:tcPr>
          <w:p>
            <w:pPr>
              <w:jc w:val="left"/>
            </w:pPr>
            <w:r>
              <w:rPr>
                <w:b/>
                <w:bCs/>
                <w:color w:val="1A1A1A"/>
                <w:sz w:val="20"/>
                <w:szCs w:val="20"/>
              </w:rPr>
              <w:t xml:space="preserve">Price Escalation</w:t>
            </w:r>
          </w:p>
        </w:tc>
        <w:tc>
          <w:tcPr>
            <w:tcW w:type="dxa" w:w="25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3% per annum</w:t>
            </w:r>
          </w:p>
        </w:tc>
        <w:tc>
          <w:tcPr>
            <w:tcW w:type="dxa" w:w="25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 5% (Preferred: ≤ 3%)</w:t>
            </w:r>
          </w:p>
        </w:tc>
        <w:tc>
          <w:tcPr>
            <w:tcW w:type="dxa" w:w="2900"/>
            <w:shd w:fill="F2F2F2" w:val="clear"/>
            <w:tcMar>
              <w:top w:type="dxa" w:w="80"/>
              <w:left w:type="dxa" w:w="120"/>
              <w:bottom w:type="dxa" w:w="80"/>
              <w:right w:type="dxa" w:w="120"/>
            </w:tcMar>
            <w:vAlign w:val="center"/>
          </w:tcPr>
          <w:p>
            <w:pPr>
              <w:jc w:val="left"/>
            </w:pPr>
            <w:r>
              <w:rPr>
                <w:b w:val="false"/>
                <w:bCs w:val="false"/>
                <w:color w:val="C00000"/>
                <w:sz w:val="20"/>
                <w:szCs w:val="20"/>
              </w:rPr>
              <w:t xml:space="preserve">&gt; 5% requires Executive (CFO/Head of Procurement) approval. Must NOT be auto-accepted.</w:t>
            </w:r>
          </w:p>
        </w:tc>
      </w:tr>
    </w:tbl>
    <w:p>
      <w:pPr>
        <w:spacing w:after="120"/>
      </w:pPr>
    </w:p>
    <w:p>
      <w:pPr>
        <w:spacing w:after="80" w:before="200"/>
      </w:pPr>
      <w:r>
        <w:rPr>
          <w:b/>
          <w:bCs/>
          <w:color w:val="1A1A1A"/>
          <w:sz w:val="22"/>
          <w:szCs w:val="22"/>
        </w:rPr>
        <w:t xml:space="preserve">2.2 Payment Terms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500"/>
        <w:gridCol w:w="29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2500"/>
            <w:shd w:fill="1F3864" w:val="clear"/>
            <w:tcMar>
              <w:top w:type="dxa" w:w="80"/>
              <w:left w:type="dxa" w:w="120"/>
              <w:bottom w:type="dxa" w:w="80"/>
              <w:right w:type="dxa" w:w="120"/>
            </w:tcMar>
            <w:vAlign w:val="center"/>
          </w:tcPr>
          <w:p>
            <w:pPr>
              <w:jc w:val="left"/>
            </w:pPr>
            <w:r>
              <w:rPr>
                <w:b/>
                <w:bCs/>
                <w:color w:val="FFFFFF"/>
                <w:sz w:val="20"/>
                <w:szCs w:val="20"/>
              </w:rPr>
              <w:t xml:space="preserve">Target</w:t>
            </w:r>
          </w:p>
        </w:tc>
        <w:tc>
          <w:tcPr>
            <w:tcW w:type="dxa" w:w="2500"/>
            <w:shd w:fill="1F3864" w:val="clear"/>
            <w:tcMar>
              <w:top w:type="dxa" w:w="80"/>
              <w:left w:type="dxa" w:w="120"/>
              <w:bottom w:type="dxa" w:w="80"/>
              <w:right w:type="dxa" w:w="120"/>
            </w:tcMar>
            <w:vAlign w:val="center"/>
          </w:tcPr>
          <w:p>
            <w:pPr>
              <w:jc w:val="left"/>
            </w:pPr>
            <w:r>
              <w:rPr>
                <w:b/>
                <w:bCs/>
                <w:color w:val="FFFFFF"/>
                <w:sz w:val="20"/>
                <w:szCs w:val="20"/>
              </w:rPr>
              <w:t xml:space="preserve">Acceptable Range</w:t>
            </w:r>
          </w:p>
        </w:tc>
        <w:tc>
          <w:tcPr>
            <w:tcW w:type="dxa" w:w="2900"/>
            <w:shd w:fill="1F3864" w:val="clear"/>
            <w:tcMar>
              <w:top w:type="dxa" w:w="80"/>
              <w:left w:type="dxa" w:w="120"/>
              <w:bottom w:type="dxa" w:w="80"/>
              <w:right w:type="dxa" w:w="120"/>
            </w:tcMar>
            <w:vAlign w:val="center"/>
          </w:tcPr>
          <w:p>
            <w:pPr>
              <w:jc w:val="left"/>
            </w:pPr>
            <w:r>
              <w:rPr>
                <w:b/>
                <w:bCs/>
                <w:color w:val="FFFFFF"/>
                <w:sz w:val="20"/>
                <w:szCs w:val="20"/>
              </w:rPr>
              <w:t xml:space="preserve">Escalation Trigger</w:t>
            </w:r>
          </w:p>
        </w:tc>
      </w:tr>
      <w:tr>
        <w:tc>
          <w:tcPr>
            <w:tcW w:type="dxa" w:w="2600"/>
            <w:shd w:fill="F2F2F2" w:val="clear"/>
            <w:tcMar>
              <w:top w:type="dxa" w:w="80"/>
              <w:left w:type="dxa" w:w="120"/>
              <w:bottom w:type="dxa" w:w="80"/>
              <w:right w:type="dxa" w:w="120"/>
            </w:tcMar>
            <w:vAlign w:val="center"/>
          </w:tcPr>
          <w:p>
            <w:pPr>
              <w:jc w:val="left"/>
            </w:pPr>
            <w:r>
              <w:rPr>
                <w:b/>
                <w:bCs/>
                <w:color w:val="1A1A1A"/>
                <w:sz w:val="20"/>
                <w:szCs w:val="20"/>
              </w:rPr>
              <w:t xml:space="preserve">Payment Terms</w:t>
            </w:r>
          </w:p>
        </w:tc>
        <w:tc>
          <w:tcPr>
            <w:tcW w:type="dxa" w:w="25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Net 60</w:t>
            </w:r>
          </w:p>
        </w:tc>
        <w:tc>
          <w:tcPr>
            <w:tcW w:type="dxa" w:w="25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Net 30 to Net 60</w:t>
            </w:r>
          </w:p>
        </w:tc>
        <w:tc>
          <w:tcPr>
            <w:tcW w:type="dxa" w:w="2900"/>
            <w:shd w:fill="F2F2F2" w:val="clear"/>
            <w:tcMar>
              <w:top w:type="dxa" w:w="80"/>
              <w:left w:type="dxa" w:w="120"/>
              <w:bottom w:type="dxa" w:w="80"/>
              <w:right w:type="dxa" w:w="120"/>
            </w:tcMar>
            <w:vAlign w:val="center"/>
          </w:tcPr>
          <w:p>
            <w:pPr>
              <w:jc w:val="left"/>
            </w:pPr>
            <w:r>
              <w:rPr>
                <w:b w:val="false"/>
                <w:bCs w:val="false"/>
                <w:color w:val="C00000"/>
                <w:sz w:val="20"/>
                <w:szCs w:val="20"/>
              </w:rPr>
              <w:t xml:space="preserve">&lt; Net 30 requires Finance approval.</w:t>
            </w:r>
          </w:p>
        </w:tc>
      </w:tr>
    </w:tbl>
    <w:p>
      <w:pPr>
        <w:spacing w:after="120"/>
      </w:pPr>
    </w:p>
    <w:p>
      <w:pPr>
        <w:spacing w:after="80" w:before="200"/>
      </w:pPr>
      <w:r>
        <w:rPr>
          <w:b/>
          <w:bCs/>
          <w:color w:val="1A1A1A"/>
          <w:sz w:val="22"/>
          <w:szCs w:val="22"/>
        </w:rPr>
        <w:t xml:space="preserve">2.3 Contract Termination Notice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500"/>
        <w:gridCol w:w="29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2500"/>
            <w:shd w:fill="1F3864" w:val="clear"/>
            <w:tcMar>
              <w:top w:type="dxa" w:w="80"/>
              <w:left w:type="dxa" w:w="120"/>
              <w:bottom w:type="dxa" w:w="80"/>
              <w:right w:type="dxa" w:w="120"/>
            </w:tcMar>
            <w:vAlign w:val="center"/>
          </w:tcPr>
          <w:p>
            <w:pPr>
              <w:jc w:val="left"/>
            </w:pPr>
            <w:r>
              <w:rPr>
                <w:b/>
                <w:bCs/>
                <w:color w:val="FFFFFF"/>
                <w:sz w:val="20"/>
                <w:szCs w:val="20"/>
              </w:rPr>
              <w:t xml:space="preserve">Target</w:t>
            </w:r>
          </w:p>
        </w:tc>
        <w:tc>
          <w:tcPr>
            <w:tcW w:type="dxa" w:w="2500"/>
            <w:shd w:fill="1F3864" w:val="clear"/>
            <w:tcMar>
              <w:top w:type="dxa" w:w="80"/>
              <w:left w:type="dxa" w:w="120"/>
              <w:bottom w:type="dxa" w:w="80"/>
              <w:right w:type="dxa" w:w="120"/>
            </w:tcMar>
            <w:vAlign w:val="center"/>
          </w:tcPr>
          <w:p>
            <w:pPr>
              <w:jc w:val="left"/>
            </w:pPr>
            <w:r>
              <w:rPr>
                <w:b/>
                <w:bCs/>
                <w:color w:val="FFFFFF"/>
                <w:sz w:val="20"/>
                <w:szCs w:val="20"/>
              </w:rPr>
              <w:t xml:space="preserve">Acceptable Range</w:t>
            </w:r>
          </w:p>
        </w:tc>
        <w:tc>
          <w:tcPr>
            <w:tcW w:type="dxa" w:w="2900"/>
            <w:shd w:fill="1F3864" w:val="clear"/>
            <w:tcMar>
              <w:top w:type="dxa" w:w="80"/>
              <w:left w:type="dxa" w:w="120"/>
              <w:bottom w:type="dxa" w:w="80"/>
              <w:right w:type="dxa" w:w="120"/>
            </w:tcMar>
            <w:vAlign w:val="center"/>
          </w:tcPr>
          <w:p>
            <w:pPr>
              <w:jc w:val="left"/>
            </w:pPr>
            <w:r>
              <w:rPr>
                <w:b/>
                <w:bCs/>
                <w:color w:val="FFFFFF"/>
                <w:sz w:val="20"/>
                <w:szCs w:val="20"/>
              </w:rPr>
              <w:t xml:space="preserve">Escalation Trigger</w:t>
            </w:r>
          </w:p>
        </w:tc>
      </w:tr>
      <w:tr>
        <w:tc>
          <w:tcPr>
            <w:tcW w:type="dxa" w:w="2600"/>
            <w:shd w:fill="F2F2F2" w:val="clear"/>
            <w:tcMar>
              <w:top w:type="dxa" w:w="80"/>
              <w:left w:type="dxa" w:w="120"/>
              <w:bottom w:type="dxa" w:w="80"/>
              <w:right w:type="dxa" w:w="120"/>
            </w:tcMar>
            <w:vAlign w:val="center"/>
          </w:tcPr>
          <w:p>
            <w:pPr>
              <w:jc w:val="left"/>
            </w:pPr>
            <w:r>
              <w:rPr>
                <w:b/>
                <w:bCs/>
                <w:color w:val="1A1A1A"/>
                <w:sz w:val="20"/>
                <w:szCs w:val="20"/>
              </w:rPr>
              <w:t xml:space="preserve">Termination Notice</w:t>
            </w:r>
          </w:p>
        </w:tc>
        <w:tc>
          <w:tcPr>
            <w:tcW w:type="dxa" w:w="25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30 days</w:t>
            </w:r>
          </w:p>
        </w:tc>
        <w:tc>
          <w:tcPr>
            <w:tcW w:type="dxa" w:w="25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 60 days</w:t>
            </w:r>
          </w:p>
        </w:tc>
        <w:tc>
          <w:tcPr>
            <w:tcW w:type="dxa" w:w="2900"/>
            <w:shd w:fill="F2F2F2" w:val="clear"/>
            <w:tcMar>
              <w:top w:type="dxa" w:w="80"/>
              <w:left w:type="dxa" w:w="120"/>
              <w:bottom w:type="dxa" w:w="80"/>
              <w:right w:type="dxa" w:w="120"/>
            </w:tcMar>
            <w:vAlign w:val="center"/>
          </w:tcPr>
          <w:p>
            <w:pPr>
              <w:jc w:val="left"/>
            </w:pPr>
            <w:r>
              <w:rPr>
                <w:b w:val="false"/>
                <w:bCs w:val="false"/>
                <w:color w:val="C00000"/>
                <w:sz w:val="20"/>
                <w:szCs w:val="20"/>
              </w:rPr>
              <w:t xml:space="preserve">&gt; 60 days requires Legal approval.</w:t>
            </w:r>
          </w:p>
        </w:tc>
      </w:tr>
    </w:tbl>
    <w:p>
      <w:pPr>
        <w:spacing w:after="120"/>
      </w:pPr>
    </w:p>
    <w:p>
      <w:pPr>
        <w:spacing w:after="80" w:before="200"/>
      </w:pPr>
      <w:r>
        <w:rPr>
          <w:b/>
          <w:bCs/>
          <w:color w:val="1A1A1A"/>
          <w:sz w:val="22"/>
          <w:szCs w:val="22"/>
        </w:rPr>
        <w:t xml:space="preserve">2.4 Service Level Agreement (SLA)</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500"/>
        <w:gridCol w:w="29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2500"/>
            <w:shd w:fill="1F3864" w:val="clear"/>
            <w:tcMar>
              <w:top w:type="dxa" w:w="80"/>
              <w:left w:type="dxa" w:w="120"/>
              <w:bottom w:type="dxa" w:w="80"/>
              <w:right w:type="dxa" w:w="120"/>
            </w:tcMar>
            <w:vAlign w:val="center"/>
          </w:tcPr>
          <w:p>
            <w:pPr>
              <w:jc w:val="left"/>
            </w:pPr>
            <w:r>
              <w:rPr>
                <w:b/>
                <w:bCs/>
                <w:color w:val="FFFFFF"/>
                <w:sz w:val="20"/>
                <w:szCs w:val="20"/>
              </w:rPr>
              <w:t xml:space="preserve">Target</w:t>
            </w:r>
          </w:p>
        </w:tc>
        <w:tc>
          <w:tcPr>
            <w:tcW w:type="dxa" w:w="2500"/>
            <w:shd w:fill="1F3864" w:val="clear"/>
            <w:tcMar>
              <w:top w:type="dxa" w:w="80"/>
              <w:left w:type="dxa" w:w="120"/>
              <w:bottom w:type="dxa" w:w="80"/>
              <w:right w:type="dxa" w:w="120"/>
            </w:tcMar>
            <w:vAlign w:val="center"/>
          </w:tcPr>
          <w:p>
            <w:pPr>
              <w:jc w:val="left"/>
            </w:pPr>
            <w:r>
              <w:rPr>
                <w:b/>
                <w:bCs/>
                <w:color w:val="FFFFFF"/>
                <w:sz w:val="20"/>
                <w:szCs w:val="20"/>
              </w:rPr>
              <w:t xml:space="preserve">Acceptable Range</w:t>
            </w:r>
          </w:p>
        </w:tc>
        <w:tc>
          <w:tcPr>
            <w:tcW w:type="dxa" w:w="2900"/>
            <w:shd w:fill="1F3864" w:val="clear"/>
            <w:tcMar>
              <w:top w:type="dxa" w:w="80"/>
              <w:left w:type="dxa" w:w="120"/>
              <w:bottom w:type="dxa" w:w="80"/>
              <w:right w:type="dxa" w:w="120"/>
            </w:tcMar>
            <w:vAlign w:val="center"/>
          </w:tcPr>
          <w:p>
            <w:pPr>
              <w:jc w:val="left"/>
            </w:pPr>
            <w:r>
              <w:rPr>
                <w:b/>
                <w:bCs/>
                <w:color w:val="FFFFFF"/>
                <w:sz w:val="20"/>
                <w:szCs w:val="20"/>
              </w:rPr>
              <w:t xml:space="preserve">Escalation Trigger</w:t>
            </w:r>
          </w:p>
        </w:tc>
      </w:tr>
      <w:tr>
        <w:tc>
          <w:tcPr>
            <w:tcW w:type="dxa" w:w="2600"/>
            <w:shd w:fill="F2F2F2" w:val="clear"/>
            <w:tcMar>
              <w:top w:type="dxa" w:w="80"/>
              <w:left w:type="dxa" w:w="120"/>
              <w:bottom w:type="dxa" w:w="80"/>
              <w:right w:type="dxa" w:w="120"/>
            </w:tcMar>
            <w:vAlign w:val="center"/>
          </w:tcPr>
          <w:p>
            <w:pPr>
              <w:jc w:val="left"/>
            </w:pPr>
            <w:r>
              <w:rPr>
                <w:b/>
                <w:bCs/>
                <w:color w:val="1A1A1A"/>
                <w:sz w:val="20"/>
                <w:szCs w:val="20"/>
              </w:rPr>
              <w:t xml:space="preserve">Uptime SLA</w:t>
            </w:r>
          </w:p>
        </w:tc>
        <w:tc>
          <w:tcPr>
            <w:tcW w:type="dxa" w:w="25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99.99%</w:t>
            </w:r>
          </w:p>
        </w:tc>
        <w:tc>
          <w:tcPr>
            <w:tcW w:type="dxa" w:w="25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 99.9%</w:t>
            </w:r>
          </w:p>
        </w:tc>
        <w:tc>
          <w:tcPr>
            <w:tcW w:type="dxa" w:w="2900"/>
            <w:shd w:fill="F2F2F2" w:val="clear"/>
            <w:tcMar>
              <w:top w:type="dxa" w:w="80"/>
              <w:left w:type="dxa" w:w="120"/>
              <w:bottom w:type="dxa" w:w="80"/>
              <w:right w:type="dxa" w:w="120"/>
            </w:tcMar>
            <w:vAlign w:val="center"/>
          </w:tcPr>
          <w:p>
            <w:pPr>
              <w:jc w:val="left"/>
            </w:pPr>
            <w:r>
              <w:rPr>
                <w:b w:val="false"/>
                <w:bCs w:val="false"/>
                <w:color w:val="C00000"/>
                <w:sz w:val="20"/>
                <w:szCs w:val="20"/>
              </w:rPr>
              <w:t xml:space="preserve">&lt; 99.9% must NOT be auto-accepted. Service credits for SLA breach are mandatory in all cases.</w:t>
            </w:r>
          </w:p>
        </w:tc>
      </w:tr>
    </w:tbl>
    <w:p>
      <w:pPr>
        <w:spacing w:after="120"/>
      </w:pPr>
    </w:p>
    <w:p>
      <w:pPr>
        <w:spacing w:after="80" w:before="200"/>
      </w:pPr>
      <w:r>
        <w:rPr>
          <w:b/>
          <w:bCs/>
          <w:color w:val="1A1A1A"/>
          <w:sz w:val="22"/>
          <w:szCs w:val="22"/>
        </w:rPr>
        <w:t xml:space="preserve">2.5 Liability Cap</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500"/>
        <w:gridCol w:w="29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2500"/>
            <w:shd w:fill="1F3864" w:val="clear"/>
            <w:tcMar>
              <w:top w:type="dxa" w:w="80"/>
              <w:left w:type="dxa" w:w="120"/>
              <w:bottom w:type="dxa" w:w="80"/>
              <w:right w:type="dxa" w:w="120"/>
            </w:tcMar>
            <w:vAlign w:val="center"/>
          </w:tcPr>
          <w:p>
            <w:pPr>
              <w:jc w:val="left"/>
            </w:pPr>
            <w:r>
              <w:rPr>
                <w:b/>
                <w:bCs/>
                <w:color w:val="FFFFFF"/>
                <w:sz w:val="20"/>
                <w:szCs w:val="20"/>
              </w:rPr>
              <w:t xml:space="preserve">Target</w:t>
            </w:r>
          </w:p>
        </w:tc>
        <w:tc>
          <w:tcPr>
            <w:tcW w:type="dxa" w:w="2500"/>
            <w:shd w:fill="1F3864" w:val="clear"/>
            <w:tcMar>
              <w:top w:type="dxa" w:w="80"/>
              <w:left w:type="dxa" w:w="120"/>
              <w:bottom w:type="dxa" w:w="80"/>
              <w:right w:type="dxa" w:w="120"/>
            </w:tcMar>
            <w:vAlign w:val="center"/>
          </w:tcPr>
          <w:p>
            <w:pPr>
              <w:jc w:val="left"/>
            </w:pPr>
            <w:r>
              <w:rPr>
                <w:b/>
                <w:bCs/>
                <w:color w:val="FFFFFF"/>
                <w:sz w:val="20"/>
                <w:szCs w:val="20"/>
              </w:rPr>
              <w:t xml:space="preserve">Acceptable Range</w:t>
            </w:r>
          </w:p>
        </w:tc>
        <w:tc>
          <w:tcPr>
            <w:tcW w:type="dxa" w:w="2900"/>
            <w:shd w:fill="1F3864" w:val="clear"/>
            <w:tcMar>
              <w:top w:type="dxa" w:w="80"/>
              <w:left w:type="dxa" w:w="120"/>
              <w:bottom w:type="dxa" w:w="80"/>
              <w:right w:type="dxa" w:w="120"/>
            </w:tcMar>
            <w:vAlign w:val="center"/>
          </w:tcPr>
          <w:p>
            <w:pPr>
              <w:jc w:val="left"/>
            </w:pPr>
            <w:r>
              <w:rPr>
                <w:b/>
                <w:bCs/>
                <w:color w:val="FFFFFF"/>
                <w:sz w:val="20"/>
                <w:szCs w:val="20"/>
              </w:rPr>
              <w:t xml:space="preserve">Escalation Trigger</w:t>
            </w:r>
          </w:p>
        </w:tc>
      </w:tr>
      <w:tr>
        <w:tc>
          <w:tcPr>
            <w:tcW w:type="dxa" w:w="2600"/>
            <w:shd w:fill="F2F2F2" w:val="clear"/>
            <w:tcMar>
              <w:top w:type="dxa" w:w="80"/>
              <w:left w:type="dxa" w:w="120"/>
              <w:bottom w:type="dxa" w:w="80"/>
              <w:right w:type="dxa" w:w="120"/>
            </w:tcMar>
            <w:vAlign w:val="center"/>
          </w:tcPr>
          <w:p>
            <w:pPr>
              <w:jc w:val="left"/>
            </w:pPr>
            <w:r>
              <w:rPr>
                <w:b/>
                <w:bCs/>
                <w:color w:val="1A1A1A"/>
                <w:sz w:val="20"/>
                <w:szCs w:val="20"/>
              </w:rPr>
              <w:t xml:space="preserve">Liability Cap</w:t>
            </w:r>
          </w:p>
        </w:tc>
        <w:tc>
          <w:tcPr>
            <w:tcW w:type="dxa" w:w="25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Unlimited (for data breach / confidentiality)</w:t>
            </w:r>
          </w:p>
        </w:tc>
        <w:tc>
          <w:tcPr>
            <w:tcW w:type="dxa" w:w="25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 100% of Annual Contract Value (ACV)</w:t>
            </w:r>
          </w:p>
        </w:tc>
        <w:tc>
          <w:tcPr>
            <w:tcW w:type="dxa" w:w="2900"/>
            <w:shd w:fill="F2F2F2" w:val="clear"/>
            <w:tcMar>
              <w:top w:type="dxa" w:w="80"/>
              <w:left w:type="dxa" w:w="120"/>
              <w:bottom w:type="dxa" w:w="80"/>
              <w:right w:type="dxa" w:w="120"/>
            </w:tcMar>
            <w:vAlign w:val="center"/>
          </w:tcPr>
          <w:p>
            <w:pPr>
              <w:jc w:val="left"/>
            </w:pPr>
            <w:r>
              <w:rPr>
                <w:b w:val="false"/>
                <w:bCs w:val="false"/>
                <w:color w:val="C00000"/>
                <w:sz w:val="20"/>
                <w:szCs w:val="20"/>
              </w:rPr>
              <w:t xml:space="preserve">&lt; 100% of ACV requires Legal approval.</w:t>
            </w:r>
          </w:p>
        </w:tc>
      </w:tr>
    </w:tbl>
    <w:p>
      <w:pPr>
        <w:spacing w:after="120"/>
      </w:pPr>
    </w:p>
    <w:p>
      <w:pPr>
        <w:spacing w:after="80" w:before="200"/>
      </w:pPr>
      <w:r>
        <w:rPr>
          <w:b/>
          <w:bCs/>
          <w:color w:val="1A1A1A"/>
          <w:sz w:val="22"/>
          <w:szCs w:val="22"/>
        </w:rPr>
        <w:t xml:space="preserve">2.6 Data Ownership</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Borders>
              <w:top w:val="single" w:color="C00000" w:sz="12"/>
              <w:left w:val="single" w:color="C00000" w:sz="12"/>
              <w:bottom w:val="single" w:color="C00000" w:sz="12"/>
              <w:right w:val="single" w:color="C00000" w:sz="12"/>
            </w:tcBorders>
            <w:shd w:fill="DDEBF7" w:val="clear"/>
            <w:tcMar>
              <w:top w:type="dxa" w:w="160"/>
              <w:left w:type="dxa" w:w="200"/>
              <w:bottom w:type="dxa" w:w="160"/>
              <w:right w:type="dxa" w:w="200"/>
            </w:tcMar>
          </w:tcPr>
          <w:p>
            <w:pPr>
              <w:spacing w:after="80"/>
            </w:pPr>
            <w:r>
              <w:rPr>
                <w:b/>
                <w:bCs/>
                <w:color w:val="C00000"/>
                <w:sz w:val="22"/>
                <w:szCs w:val="22"/>
              </w:rPr>
              <w:t xml:space="preserve">Non-Negotiable</w:t>
            </w:r>
          </w:p>
          <w:p>
            <w:r>
              <w:rPr>
                <w:sz w:val="21"/>
                <w:szCs w:val="21"/>
              </w:rPr>
              <w:t xml:space="preserve">Raccoon Manufacturing India Pvt. Ltd. must at all times retain sole and exclusive ownership of all company data. The vendor may process, store, or transmit company data solely for the purpose of providing the contracted services and for no other purpose. Any clause asserting vendor ownership, joint ownership, or unrestricted vendor usage rights over company data must not be accepted under any circumstances and must be escalated to Legal immediately.</w:t>
            </w:r>
          </w:p>
        </w:tc>
      </w:tr>
    </w:tbl>
    <w:p>
      <w:pPr>
        <w:spacing w:after="160"/>
      </w:pPr>
    </w:p>
    <w:p>
      <w:pPr>
        <w:spacing w:after="80" w:before="200"/>
      </w:pPr>
      <w:r>
        <w:rPr>
          <w:b/>
          <w:bCs/>
          <w:color w:val="1A1A1A"/>
          <w:sz w:val="22"/>
          <w:szCs w:val="22"/>
        </w:rPr>
        <w:t xml:space="preserve">2.7 Data Deletion / Return</w:t>
      </w:r>
    </w:p>
    <w:p>
      <w:pPr>
        <w:spacing w:after="120"/>
      </w:pPr>
      <w:r>
        <w:rPr>
          <w:sz w:val="21"/>
          <w:szCs w:val="21"/>
        </w:rPr>
        <w:t xml:space="preserve">The vendor must delete or return all company data within 30 calendar days of contract termination or expiry, and must provide written certification of deletion upon request.</w:t>
      </w:r>
    </w:p>
    <w:p>
      <w:pPr>
        <w:spacing w:after="80" w:before="200"/>
      </w:pPr>
      <w:r>
        <w:rPr>
          <w:b/>
          <w:bCs/>
          <w:color w:val="1A1A1A"/>
          <w:sz w:val="22"/>
          <w:szCs w:val="22"/>
        </w:rPr>
        <w:t xml:space="preserve">2.8 Auto-Renewal</w:t>
      </w:r>
    </w:p>
    <w:p>
      <w:pPr>
        <w:spacing w:after="120"/>
      </w:pPr>
      <w:r>
        <w:rPr>
          <w:sz w:val="21"/>
          <w:szCs w:val="21"/>
        </w:rPr>
        <w:t xml:space="preserve">Auto-renewal clauses are acceptable only where the company retains at least 30 days' advance notice to cancel prior to renewal. Auto-renewal terms that provide less than 30 days' cancellation notice, or that require notice earlier than 90 days before term end, must be rejected or renegotiated.</w:t>
      </w:r>
    </w:p>
    <w:p>
      <w:pPr>
        <w:spacing w:after="80" w:before="200"/>
      </w:pPr>
      <w:r>
        <w:rPr>
          <w:b/>
          <w:bCs/>
          <w:color w:val="1A1A1A"/>
          <w:sz w:val="22"/>
          <w:szCs w:val="22"/>
        </w:rPr>
        <w:t xml:space="preserve">2.9 Price Lock</w:t>
      </w:r>
    </w:p>
    <w:p>
      <w:pPr>
        <w:spacing w:after="120"/>
      </w:pPr>
      <w:r>
        <w:rPr>
          <w:sz w:val="21"/>
          <w:szCs w:val="21"/>
        </w:rPr>
        <w:t xml:space="preserve">There must be no price increase of any kind during the initial contract term. Mid-term price revision clauses (including “market adjustment” or “cost pass-through” clauses) are not acceptable within the first 12 months of the agreement.</w:t>
      </w:r>
    </w:p>
    <w:p>
      <w:pPr>
        <w:spacing w:after="80" w:before="200"/>
      </w:pPr>
      <w:r>
        <w:rPr>
          <w:b/>
          <w:bCs/>
          <w:color w:val="1A1A1A"/>
          <w:sz w:val="22"/>
          <w:szCs w:val="22"/>
        </w:rPr>
        <w:t xml:space="preserve">2.10 Subcontracting</w:t>
      </w:r>
    </w:p>
    <w:p>
      <w:pPr>
        <w:pStyle w:val="ListParagraph"/>
        <w:numPr>
          <w:ilvl w:val="0"/>
          <w:numId w:val="1"/>
        </w:numPr>
        <w:spacing w:after="60"/>
      </w:pPr>
      <w:r>
        <w:rPr>
          <w:sz w:val="21"/>
          <w:szCs w:val="21"/>
        </w:rPr>
        <w:t xml:space="preserve">Material subcontracting of contracted services requires prior written notification to the company before the subcontractor is engaged.</w:t>
      </w:r>
    </w:p>
    <w:p>
      <w:pPr>
        <w:pStyle w:val="ListParagraph"/>
        <w:numPr>
          <w:ilvl w:val="0"/>
          <w:numId w:val="1"/>
        </w:numPr>
        <w:spacing w:after="60"/>
      </w:pPr>
      <w:r>
        <w:rPr>
          <w:sz w:val="21"/>
          <w:szCs w:val="21"/>
        </w:rPr>
        <w:t xml:space="preserve">The primary vendor remains fully responsible and liable for the performance, security, and compliance of any subcontractor, with no dilution of the vendor's own obligations under the agreement.</w:t>
      </w:r>
    </w:p>
    <w:p>
      <w:pPr>
        <w:pageBreakBefore/>
      </w:pPr>
    </w:p>
    <w:p>
      <w:pPr>
        <w:pStyle w:val="Heading1"/>
        <w:pBdr>
          <w:bottom w:val="single" w:color="1F3864" w:sz="8" w:space="4"/>
        </w:pBdr>
        <w:spacing w:after="160" w:before="360"/>
      </w:pPr>
      <w:r>
        <w:rPr>
          <w:b/>
          <w:bCs/>
          <w:color w:val="1F3864"/>
          <w:sz w:val="30"/>
          <w:szCs w:val="30"/>
        </w:rPr>
        <w:t xml:space="preserve">3. Soft Negotiation Preferences</w:t>
      </w:r>
    </w:p>
    <w:p>
      <w:pPr>
        <w:spacing w:after="120"/>
      </w:pPr>
      <w:r>
        <w:rPr>
          <w:sz w:val="21"/>
          <w:szCs w:val="21"/>
        </w:rPr>
        <w:t xml:space="preserve">Soft preferences represent the company's preferred outcomes but are not absolute limits. Negotiators and negotiation agents may trade soft preferences against one another to reach an optimal overall commercial outcome, provided no Hard Constraint (Section 2) is breached in the process.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800"/>
        <w:gridCol w:w="6700"/>
      </w:tblGrid>
      <w:tr>
        <w:trPr>
          <w:tblHeader/>
        </w:trPr>
        <w:tc>
          <w:tcPr>
            <w:tcW w:type="dxa" w:w="3800"/>
            <w:shd w:fill="1F3864" w:val="clear"/>
            <w:tcMar>
              <w:top w:type="dxa" w:w="80"/>
              <w:left w:type="dxa" w:w="120"/>
              <w:bottom w:type="dxa" w:w="80"/>
              <w:right w:type="dxa" w:w="120"/>
            </w:tcMar>
            <w:vAlign w:val="center"/>
          </w:tcPr>
          <w:p>
            <w:pPr>
              <w:jc w:val="left"/>
            </w:pPr>
            <w:r>
              <w:rPr>
                <w:b/>
                <w:bCs/>
                <w:color w:val="FFFFFF"/>
                <w:sz w:val="20"/>
                <w:szCs w:val="20"/>
              </w:rPr>
              <w:t xml:space="preserve">Preference Area</w:t>
            </w:r>
          </w:p>
        </w:tc>
        <w:tc>
          <w:tcPr>
            <w:tcW w:type="dxa" w:w="6700"/>
            <w:shd w:fill="1F3864" w:val="clear"/>
            <w:tcMar>
              <w:top w:type="dxa" w:w="80"/>
              <w:left w:type="dxa" w:w="120"/>
              <w:bottom w:type="dxa" w:w="80"/>
              <w:right w:type="dxa" w:w="120"/>
            </w:tcMar>
            <w:vAlign w:val="center"/>
          </w:tcPr>
          <w:p>
            <w:pPr>
              <w:jc w:val="left"/>
            </w:pPr>
            <w:r>
              <w:rPr>
                <w:b/>
                <w:bCs/>
                <w:color w:val="FFFFFF"/>
                <w:sz w:val="20"/>
                <w:szCs w:val="20"/>
              </w:rPr>
              <w:t xml:space="preserve">Preferred Position</w:t>
            </w:r>
          </w:p>
        </w:tc>
      </w:tr>
      <w:tr>
        <w:tc>
          <w:tcPr>
            <w:tcW w:type="dxa" w:w="3800"/>
            <w:shd w:fill="F2F2F2" w:val="clear"/>
            <w:tcMar>
              <w:top w:type="dxa" w:w="80"/>
              <w:left w:type="dxa" w:w="120"/>
              <w:bottom w:type="dxa" w:w="80"/>
              <w:right w:type="dxa" w:w="120"/>
            </w:tcMar>
            <w:vAlign w:val="center"/>
          </w:tcPr>
          <w:p>
            <w:pPr>
              <w:jc w:val="left"/>
            </w:pPr>
            <w:r>
              <w:rPr>
                <w:b/>
                <w:bCs/>
                <w:color w:val="1A1A1A"/>
                <w:sz w:val="20"/>
                <w:szCs w:val="20"/>
              </w:rPr>
              <w:t xml:space="preserve">Payment Terms</w:t>
            </w:r>
          </w:p>
        </w:tc>
        <w:tc>
          <w:tcPr>
            <w:tcW w:type="dxa" w:w="67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Net 60 preferred over Net 30</w:t>
            </w:r>
          </w:p>
        </w:tc>
      </w:tr>
      <w:tr>
        <w:tc>
          <w:tcPr>
            <w:tcW w:type="dxa" w:w="3800"/>
            <w:shd w:fill="FFFFFF" w:val="clear"/>
            <w:tcMar>
              <w:top w:type="dxa" w:w="80"/>
              <w:left w:type="dxa" w:w="120"/>
              <w:bottom w:type="dxa" w:w="80"/>
              <w:right w:type="dxa" w:w="120"/>
            </w:tcMar>
            <w:vAlign w:val="center"/>
          </w:tcPr>
          <w:p>
            <w:pPr>
              <w:jc w:val="left"/>
            </w:pPr>
            <w:r>
              <w:rPr>
                <w:b/>
                <w:bCs/>
                <w:color w:val="1A1A1A"/>
                <w:sz w:val="20"/>
                <w:szCs w:val="20"/>
              </w:rPr>
              <w:t xml:space="preserve">Termination Notice</w:t>
            </w:r>
          </w:p>
        </w:tc>
        <w:tc>
          <w:tcPr>
            <w:tcW w:type="dxa" w:w="67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30-day termination preferred over 60-day termination</w:t>
            </w:r>
          </w:p>
        </w:tc>
      </w:tr>
      <w:tr>
        <w:tc>
          <w:tcPr>
            <w:tcW w:type="dxa" w:w="3800"/>
            <w:shd w:fill="F2F2F2" w:val="clear"/>
            <w:tcMar>
              <w:top w:type="dxa" w:w="80"/>
              <w:left w:type="dxa" w:w="120"/>
              <w:bottom w:type="dxa" w:w="80"/>
              <w:right w:type="dxa" w:w="120"/>
            </w:tcMar>
            <w:vAlign w:val="center"/>
          </w:tcPr>
          <w:p>
            <w:pPr>
              <w:jc w:val="left"/>
            </w:pPr>
            <w:r>
              <w:rPr>
                <w:b/>
                <w:bCs/>
                <w:color w:val="1A1A1A"/>
                <w:sz w:val="20"/>
                <w:szCs w:val="20"/>
              </w:rPr>
              <w:t xml:space="preserve">Price Escalation</w:t>
            </w:r>
          </w:p>
        </w:tc>
        <w:tc>
          <w:tcPr>
            <w:tcW w:type="dxa" w:w="67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3% or lower preferred</w:t>
            </w:r>
          </w:p>
        </w:tc>
      </w:tr>
      <w:tr>
        <w:tc>
          <w:tcPr>
            <w:tcW w:type="dxa" w:w="3800"/>
            <w:shd w:fill="FFFFFF" w:val="clear"/>
            <w:tcMar>
              <w:top w:type="dxa" w:w="80"/>
              <w:left w:type="dxa" w:w="120"/>
              <w:bottom w:type="dxa" w:w="80"/>
              <w:right w:type="dxa" w:w="120"/>
            </w:tcMar>
            <w:vAlign w:val="center"/>
          </w:tcPr>
          <w:p>
            <w:pPr>
              <w:jc w:val="left"/>
            </w:pPr>
            <w:r>
              <w:rPr>
                <w:b/>
                <w:bCs/>
                <w:color w:val="1A1A1A"/>
                <w:sz w:val="20"/>
                <w:szCs w:val="20"/>
              </w:rPr>
              <w:t xml:space="preserve">SLA / Uptime</w:t>
            </w:r>
          </w:p>
        </w:tc>
        <w:tc>
          <w:tcPr>
            <w:tcW w:type="dxa" w:w="67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99.99% preferred over the 99.9% floor</w:t>
            </w:r>
          </w:p>
        </w:tc>
      </w:tr>
      <w:tr>
        <w:tc>
          <w:tcPr>
            <w:tcW w:type="dxa" w:w="3800"/>
            <w:shd w:fill="F2F2F2" w:val="clear"/>
            <w:tcMar>
              <w:top w:type="dxa" w:w="80"/>
              <w:left w:type="dxa" w:w="120"/>
              <w:bottom w:type="dxa" w:w="80"/>
              <w:right w:type="dxa" w:w="120"/>
            </w:tcMar>
            <w:vAlign w:val="center"/>
          </w:tcPr>
          <w:p>
            <w:pPr>
              <w:jc w:val="left"/>
            </w:pPr>
            <w:r>
              <w:rPr>
                <w:b/>
                <w:bCs/>
                <w:color w:val="1A1A1A"/>
                <w:sz w:val="20"/>
                <w:szCs w:val="20"/>
              </w:rPr>
              <w:t xml:space="preserve">Contract Duration</w:t>
            </w:r>
          </w:p>
        </w:tc>
        <w:tc>
          <w:tcPr>
            <w:tcW w:type="dxa" w:w="67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Annual price commitments preferred over multi-year lock-in</w:t>
            </w:r>
          </w:p>
        </w:tc>
      </w:tr>
      <w:tr>
        <w:tc>
          <w:tcPr>
            <w:tcW w:type="dxa" w:w="3800"/>
            <w:shd w:fill="FFFFFF" w:val="clear"/>
            <w:tcMar>
              <w:top w:type="dxa" w:w="80"/>
              <w:left w:type="dxa" w:w="120"/>
              <w:bottom w:type="dxa" w:w="80"/>
              <w:right w:type="dxa" w:w="120"/>
            </w:tcMar>
            <w:vAlign w:val="center"/>
          </w:tcPr>
          <w:p>
            <w:pPr>
              <w:jc w:val="left"/>
            </w:pPr>
            <w:r>
              <w:rPr>
                <w:b/>
                <w:bCs/>
                <w:color w:val="1A1A1A"/>
                <w:sz w:val="20"/>
                <w:szCs w:val="20"/>
              </w:rPr>
              <w:t xml:space="preserve">Liability (Data Breach / Confidentiality)</w:t>
            </w:r>
          </w:p>
        </w:tc>
        <w:tc>
          <w:tcPr>
            <w:tcW w:type="dxa" w:w="67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Unlimited liability preferred over capped liability</w:t>
            </w:r>
          </w:p>
        </w:tc>
      </w:tr>
    </w:tbl>
    <w:p>
      <w:pPr>
        <w:pStyle w:val="Heading1"/>
        <w:pBdr>
          <w:bottom w:val="single" w:color="1F3864" w:sz="8" w:space="4"/>
        </w:pBdr>
        <w:spacing w:after="160" w:before="360"/>
      </w:pPr>
      <w:r>
        <w:rPr>
          <w:b/>
          <w:bCs/>
          <w:color w:val="1F3864"/>
          <w:sz w:val="30"/>
          <w:szCs w:val="30"/>
        </w:rPr>
        <w:t xml:space="preserve">4. Trade-Off Principles</w:t>
      </w:r>
    </w:p>
    <w:p>
      <w:pPr>
        <w:spacing w:after="120"/>
      </w:pPr>
      <w:r>
        <w:rPr>
          <w:sz w:val="21"/>
          <w:szCs w:val="21"/>
        </w:rPr>
        <w:t xml:space="preserve">Soft preferences may be exchanged for one another to reach a mutually acceptable deal, but a favourable trade-off on one soft term can never be used to justify breaching a Hard Constraint. The following illustrative scenarios describe how trade-offs should be evaluated.</w:t>
      </w:r>
    </w:p>
    <w:p>
      <w:pPr>
        <w:spacing w:after="80" w:before="200"/>
      </w:pPr>
      <w:r>
        <w:rPr>
          <w:b/>
          <w:bCs/>
          <w:color w:val="1A1A1A"/>
          <w:sz w:val="22"/>
          <w:szCs w:val="22"/>
        </w:rPr>
        <w:t xml:space="preserve">4.1 Permitted Trade-Offs (Illustrative)</w:t>
      </w:r>
    </w:p>
    <w:p>
      <w:pPr>
        <w:pStyle w:val="ListParagraph"/>
        <w:numPr>
          <w:ilvl w:val="0"/>
          <w:numId w:val="1"/>
        </w:numPr>
        <w:spacing w:after="60"/>
      </w:pPr>
      <w:r>
        <w:rPr>
          <w:sz w:val="21"/>
          <w:szCs w:val="21"/>
        </w:rPr>
        <w:t xml:space="preserve">Accepting the full 5% escalation ceiling may be considered if the vendor offers materially improved payment terms (e.g., Net 60 or longer) or other meaningful commercial concessions, such as bundled services or volume discounts.</w:t>
      </w:r>
    </w:p>
    <w:p>
      <w:pPr>
        <w:pStyle w:val="ListParagraph"/>
        <w:numPr>
          <w:ilvl w:val="0"/>
          <w:numId w:val="1"/>
        </w:numPr>
        <w:spacing w:after="60"/>
      </w:pPr>
      <w:r>
        <w:rPr>
          <w:sz w:val="21"/>
          <w:szCs w:val="21"/>
        </w:rPr>
        <w:t xml:space="preserve">Net 30 payment terms (rather than the Net 60 target) may be accepted if the vendor offers a meaningful, quantifiable price reduction in exchange.</w:t>
      </w:r>
    </w:p>
    <w:p>
      <w:pPr>
        <w:pStyle w:val="ListParagraph"/>
        <w:numPr>
          <w:ilvl w:val="0"/>
          <w:numId w:val="1"/>
        </w:numPr>
        <w:spacing w:after="60"/>
      </w:pPr>
      <w:r>
        <w:rPr>
          <w:sz w:val="21"/>
          <w:szCs w:val="21"/>
        </w:rPr>
        <w:t xml:space="preserve">A 60-day termination notice period (rather than the 30-day target) may be accepted if other material protections improve — for example, enhanced SLA credits, a stronger liability position, or a favourable price lock.</w:t>
      </w:r>
    </w:p>
    <w:p>
      <w:pPr>
        <w:pStyle w:val="ListParagraph"/>
        <w:numPr>
          <w:ilvl w:val="0"/>
          <w:numId w:val="1"/>
        </w:numPr>
        <w:spacing w:after="60"/>
      </w:pPr>
      <w:r>
        <w:rPr>
          <w:sz w:val="21"/>
          <w:szCs w:val="21"/>
        </w:rPr>
        <w:t xml:space="preserve">A longer notice-of-non-renewal window may be traded against a lower escalation rate, provided the auto-renewal Hard Constraint in Section 2.8 is still met.</w:t>
      </w:r>
    </w:p>
    <w:p>
      <w:pPr>
        <w:spacing w:after="80" w:before="200"/>
      </w:pPr>
      <w:r>
        <w:rPr>
          <w:b/>
          <w:bCs/>
          <w:color w:val="1A1A1A"/>
          <w:sz w:val="22"/>
          <w:szCs w:val="22"/>
        </w:rPr>
        <w:t xml:space="preserve">4.2 Constraints That Can NEVER Be Auto-Accepted</w:t>
      </w:r>
    </w:p>
    <w:p>
      <w:pPr>
        <w:spacing w:after="120"/>
      </w:pPr>
      <w:r>
        <w:rPr>
          <w:sz w:val="21"/>
          <w:szCs w:val="21"/>
        </w:rPr>
        <w:t xml:space="preserve">Regardless of any compensating commercial benefit offered by the vendor, the negotiation agent must never automatically accept:</w:t>
      </w:r>
    </w:p>
    <w:p>
      <w:pPr>
        <w:pStyle w:val="ListParagraph"/>
        <w:numPr>
          <w:ilvl w:val="0"/>
          <w:numId w:val="1"/>
        </w:numPr>
        <w:spacing w:after="60"/>
      </w:pPr>
      <w:r>
        <w:rPr>
          <w:b/>
          <w:bCs/>
          <w:sz w:val="21"/>
          <w:szCs w:val="21"/>
        </w:rPr>
        <w:t xml:space="preserve">Price escalation greater than 5% per annum</w:t>
      </w:r>
    </w:p>
    <w:p>
      <w:pPr>
        <w:pStyle w:val="ListParagraph"/>
        <w:numPr>
          <w:ilvl w:val="0"/>
          <w:numId w:val="1"/>
        </w:numPr>
        <w:spacing w:after="60"/>
      </w:pPr>
      <w:r>
        <w:rPr>
          <w:b/>
          <w:bCs/>
          <w:sz w:val="21"/>
          <w:szCs w:val="21"/>
        </w:rPr>
        <w:t xml:space="preserve">Payment terms shorter than Net 30</w:t>
      </w:r>
    </w:p>
    <w:p>
      <w:pPr>
        <w:pStyle w:val="ListParagraph"/>
        <w:numPr>
          <w:ilvl w:val="0"/>
          <w:numId w:val="1"/>
        </w:numPr>
        <w:spacing w:after="60"/>
      </w:pPr>
      <w:r>
        <w:rPr>
          <w:b/>
          <w:bCs/>
          <w:sz w:val="21"/>
          <w:szCs w:val="21"/>
        </w:rPr>
        <w:t xml:space="preserve">Termination notice periods longer than 60 days</w:t>
      </w:r>
    </w:p>
    <w:p>
      <w:pPr>
        <w:pStyle w:val="ListParagraph"/>
        <w:numPr>
          <w:ilvl w:val="0"/>
          <w:numId w:val="1"/>
        </w:numPr>
        <w:spacing w:after="60"/>
      </w:pPr>
      <w:r>
        <w:rPr>
          <w:b/>
          <w:bCs/>
          <w:sz w:val="21"/>
          <w:szCs w:val="21"/>
        </w:rPr>
        <w:t xml:space="preserve">SLA uptime commitments below 99.9%</w:t>
      </w:r>
    </w:p>
    <w:p>
      <w:pPr>
        <w:pStyle w:val="ListParagraph"/>
        <w:numPr>
          <w:ilvl w:val="0"/>
          <w:numId w:val="1"/>
        </w:numPr>
        <w:spacing w:after="60"/>
      </w:pPr>
      <w:r>
        <w:rPr>
          <w:b/>
          <w:bCs/>
          <w:sz w:val="21"/>
          <w:szCs w:val="21"/>
        </w:rPr>
        <w:t xml:space="preserve">Liability caps below 100% of Annual Contract Value</w:t>
      </w:r>
    </w:p>
    <w:p>
      <w:pPr>
        <w:pStyle w:val="ListParagraph"/>
        <w:numPr>
          <w:ilvl w:val="0"/>
          <w:numId w:val="1"/>
        </w:numPr>
        <w:spacing w:after="60"/>
      </w:pPr>
      <w:r>
        <w:rPr>
          <w:b/>
          <w:bCs/>
          <w:sz w:val="21"/>
          <w:szCs w:val="21"/>
        </w:rPr>
        <w:t xml:space="preserve">Vendor ownership, co-ownership, or unrestricted use of Raccoon Manufacturing India Pvt. Ltd. data</w:t>
      </w:r>
    </w:p>
    <w:p>
      <w:pPr>
        <w:spacing w:after="120"/>
      </w:pPr>
      <w:r>
        <w:rPr>
          <w:sz w:val="21"/>
          <w:szCs w:val="21"/>
        </w:rPr>
        <w:t xml:space="preserve">Each of the above requires the relevant functional approval (Executive, Finance, or Legal, as specified in Section 2) before it can be incorporated into a binding agreement.</w:t>
      </w:r>
    </w:p>
    <w:p>
      <w:pPr>
        <w:pageBreakBefore/>
      </w:pPr>
    </w:p>
    <w:p>
      <w:pPr>
        <w:pStyle w:val="Heading1"/>
        <w:pBdr>
          <w:bottom w:val="single" w:color="1F3864" w:sz="8" w:space="4"/>
        </w:pBdr>
        <w:spacing w:after="160" w:before="360"/>
      </w:pPr>
      <w:r>
        <w:rPr>
          <w:b/>
          <w:bCs/>
          <w:color w:val="1F3864"/>
          <w:sz w:val="30"/>
          <w:szCs w:val="30"/>
        </w:rPr>
        <w:t xml:space="preserve">5. Escalation Protocol</w:t>
      </w:r>
    </w:p>
    <w:p>
      <w:pPr>
        <w:spacing w:after="120"/>
      </w:pPr>
      <w:r>
        <w:rPr>
          <w:sz w:val="21"/>
          <w:szCs w:val="21"/>
        </w:rPr>
        <w:t xml:space="preserve">This protocol governs the required sequence of actions whenever a vendor proposal breaches a Hard Constraint defined in Section 2. It applies equally to human negotiators and any automated or AI-assisted negotiation agent operating under this playbook.</w:t>
      </w:r>
    </w:p>
    <w:p>
      <w:pPr>
        <w:pStyle w:val="ListParagraph"/>
        <w:numPr>
          <w:ilvl w:val="0"/>
          <w:numId w:val="2"/>
        </w:numPr>
        <w:spacing w:after="80"/>
      </w:pPr>
      <w:r>
        <w:rPr>
          <w:sz w:val="21"/>
          <w:szCs w:val="21"/>
        </w:rPr>
        <w:t xml:space="preserve">Do not automatically accept the non-compliant term. The proposal must be held in a pending state pending further action.</w:t>
      </w:r>
    </w:p>
    <w:p>
      <w:pPr>
        <w:pStyle w:val="ListParagraph"/>
        <w:numPr>
          <w:ilvl w:val="0"/>
          <w:numId w:val="2"/>
        </w:numPr>
        <w:spacing w:after="80"/>
      </w:pPr>
      <w:r>
        <w:rPr>
          <w:sz w:val="21"/>
          <w:szCs w:val="21"/>
        </w:rPr>
        <w:t xml:space="preserve">Record the violation in the Negotiation Exception Log (Section 5.2), noting the specific clause, the proposed value, the applicable Hard Constraint, and the vendor's stated justification, if any.</w:t>
      </w:r>
    </w:p>
    <w:p>
      <w:pPr>
        <w:pStyle w:val="ListParagraph"/>
        <w:numPr>
          <w:ilvl w:val="0"/>
          <w:numId w:val="2"/>
        </w:numPr>
        <w:spacing w:after="80"/>
      </w:pPr>
      <w:r>
        <w:rPr>
          <w:sz w:val="21"/>
          <w:szCs w:val="21"/>
        </w:rPr>
        <w:t xml:space="preserve">Attempt to negotiate a compliant alternative with the vendor — for example, by proposing a revised term within acceptable range, or by offering a soft-preference trade-off consistent with Section 4.</w:t>
      </w:r>
    </w:p>
    <w:p>
      <w:pPr>
        <w:pStyle w:val="ListParagraph"/>
        <w:numPr>
          <w:ilvl w:val="0"/>
          <w:numId w:val="2"/>
        </w:numPr>
        <w:spacing w:after="80"/>
      </w:pPr>
      <w:r>
        <w:rPr>
          <w:sz w:val="21"/>
          <w:szCs w:val="21"/>
        </w:rPr>
        <w:t xml:space="preserve">If no compliant alternative can be reached, escalate the matter to the designated human approver before any further commitment is made to the vendor.</w:t>
      </w:r>
    </w:p>
    <w:p>
      <w:pPr>
        <w:pStyle w:val="Heading2"/>
        <w:spacing w:after="120" w:before="260"/>
      </w:pPr>
      <w:r>
        <w:rPr>
          <w:b/>
          <w:bCs/>
          <w:color w:val="1F3864"/>
          <w:sz w:val="24"/>
          <w:szCs w:val="24"/>
        </w:rPr>
        <w:t xml:space="preserve">5.1 Escalation Ownership by Constraint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500"/>
        <w:gridCol w:w="5000"/>
      </w:tblGrid>
      <w:tr>
        <w:trPr>
          <w:tblHeader/>
        </w:trPr>
        <w:tc>
          <w:tcPr>
            <w:tcW w:type="dxa" w:w="5500"/>
            <w:shd w:fill="1F3864" w:val="clear"/>
            <w:tcMar>
              <w:top w:type="dxa" w:w="80"/>
              <w:left w:type="dxa" w:w="120"/>
              <w:bottom w:type="dxa" w:w="80"/>
              <w:right w:type="dxa" w:w="120"/>
            </w:tcMar>
            <w:vAlign w:val="center"/>
          </w:tcPr>
          <w:p>
            <w:pPr>
              <w:jc w:val="left"/>
            </w:pPr>
            <w:r>
              <w:rPr>
                <w:b/>
                <w:bCs/>
                <w:color w:val="FFFFFF"/>
                <w:sz w:val="20"/>
                <w:szCs w:val="20"/>
              </w:rPr>
              <w:t xml:space="preserve">Hard Constraint Breached</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Escalation Owner</w:t>
            </w:r>
          </w:p>
        </w:tc>
      </w:tr>
      <w:tr>
        <w:tc>
          <w:tcPr>
            <w:tcW w:type="dxa" w:w="5500"/>
            <w:shd w:fill="F2F2F2" w:val="clear"/>
            <w:tcMar>
              <w:top w:type="dxa" w:w="80"/>
              <w:left w:type="dxa" w:w="120"/>
              <w:bottom w:type="dxa" w:w="80"/>
              <w:right w:type="dxa" w:w="120"/>
            </w:tcMar>
            <w:vAlign w:val="center"/>
          </w:tcPr>
          <w:p>
            <w:pPr>
              <w:jc w:val="left"/>
            </w:pPr>
            <w:r>
              <w:rPr>
                <w:b/>
                <w:bCs/>
                <w:color w:val="1A1A1A"/>
                <w:sz w:val="20"/>
                <w:szCs w:val="20"/>
              </w:rPr>
              <w:t xml:space="preserve">Price escalation &gt; 5%</w:t>
            </w:r>
          </w:p>
        </w:tc>
        <w:tc>
          <w:tcPr>
            <w:tcW w:type="dxa" w:w="5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CFO / Head of Procurement (Executive Approval)</w:t>
            </w:r>
          </w:p>
        </w:tc>
      </w:tr>
      <w:tr>
        <w:tc>
          <w:tcPr>
            <w:tcW w:type="dxa" w:w="5500"/>
            <w:shd w:fill="FFFFFF" w:val="clear"/>
            <w:tcMar>
              <w:top w:type="dxa" w:w="80"/>
              <w:left w:type="dxa" w:w="120"/>
              <w:bottom w:type="dxa" w:w="80"/>
              <w:right w:type="dxa" w:w="120"/>
            </w:tcMar>
            <w:vAlign w:val="center"/>
          </w:tcPr>
          <w:p>
            <w:pPr>
              <w:jc w:val="left"/>
            </w:pPr>
            <w:r>
              <w:rPr>
                <w:b/>
                <w:bCs/>
                <w:color w:val="1A1A1A"/>
                <w:sz w:val="20"/>
                <w:szCs w:val="20"/>
              </w:rPr>
              <w:t xml:space="preserve">Payment terms &lt; Net 30</w:t>
            </w:r>
          </w:p>
        </w:tc>
        <w:tc>
          <w:tcPr>
            <w:tcW w:type="dxa" w:w="5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Finance Controller</w:t>
            </w:r>
          </w:p>
        </w:tc>
      </w:tr>
      <w:tr>
        <w:tc>
          <w:tcPr>
            <w:tcW w:type="dxa" w:w="5500"/>
            <w:shd w:fill="F2F2F2" w:val="clear"/>
            <w:tcMar>
              <w:top w:type="dxa" w:w="80"/>
              <w:left w:type="dxa" w:w="120"/>
              <w:bottom w:type="dxa" w:w="80"/>
              <w:right w:type="dxa" w:w="120"/>
            </w:tcMar>
            <w:vAlign w:val="center"/>
          </w:tcPr>
          <w:p>
            <w:pPr>
              <w:jc w:val="left"/>
            </w:pPr>
            <w:r>
              <w:rPr>
                <w:b/>
                <w:bCs/>
                <w:color w:val="1A1A1A"/>
                <w:sz w:val="20"/>
                <w:szCs w:val="20"/>
              </w:rPr>
              <w:t xml:space="preserve">Termination notice &gt; 60 days</w:t>
            </w:r>
          </w:p>
        </w:tc>
        <w:tc>
          <w:tcPr>
            <w:tcW w:type="dxa" w:w="5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Legal &amp; Compliance</w:t>
            </w:r>
          </w:p>
        </w:tc>
      </w:tr>
      <w:tr>
        <w:tc>
          <w:tcPr>
            <w:tcW w:type="dxa" w:w="5500"/>
            <w:shd w:fill="FFFFFF" w:val="clear"/>
            <w:tcMar>
              <w:top w:type="dxa" w:w="80"/>
              <w:left w:type="dxa" w:w="120"/>
              <w:bottom w:type="dxa" w:w="80"/>
              <w:right w:type="dxa" w:w="120"/>
            </w:tcMar>
            <w:vAlign w:val="center"/>
          </w:tcPr>
          <w:p>
            <w:pPr>
              <w:jc w:val="left"/>
            </w:pPr>
            <w:r>
              <w:rPr>
                <w:b/>
                <w:bCs/>
                <w:color w:val="1A1A1A"/>
                <w:sz w:val="20"/>
                <w:szCs w:val="20"/>
              </w:rPr>
              <w:t xml:space="preserve">SLA uptime &lt; 99.9%</w:t>
            </w:r>
          </w:p>
        </w:tc>
        <w:tc>
          <w:tcPr>
            <w:tcW w:type="dxa" w:w="5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Head of Procurement + IT/Service Owner</w:t>
            </w:r>
          </w:p>
        </w:tc>
      </w:tr>
      <w:tr>
        <w:tc>
          <w:tcPr>
            <w:tcW w:type="dxa" w:w="5500"/>
            <w:shd w:fill="F2F2F2" w:val="clear"/>
            <w:tcMar>
              <w:top w:type="dxa" w:w="80"/>
              <w:left w:type="dxa" w:w="120"/>
              <w:bottom w:type="dxa" w:w="80"/>
              <w:right w:type="dxa" w:w="120"/>
            </w:tcMar>
            <w:vAlign w:val="center"/>
          </w:tcPr>
          <w:p>
            <w:pPr>
              <w:jc w:val="left"/>
            </w:pPr>
            <w:r>
              <w:rPr>
                <w:b/>
                <w:bCs/>
                <w:color w:val="1A1A1A"/>
                <w:sz w:val="20"/>
                <w:szCs w:val="20"/>
              </w:rPr>
              <w:t xml:space="preserve">Liability cap &lt; 100% of ACV</w:t>
            </w:r>
          </w:p>
        </w:tc>
        <w:tc>
          <w:tcPr>
            <w:tcW w:type="dxa" w:w="5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Legal &amp; Compliance</w:t>
            </w:r>
          </w:p>
        </w:tc>
      </w:tr>
      <w:tr>
        <w:tc>
          <w:tcPr>
            <w:tcW w:type="dxa" w:w="5500"/>
            <w:shd w:fill="FFFFFF" w:val="clear"/>
            <w:tcMar>
              <w:top w:type="dxa" w:w="80"/>
              <w:left w:type="dxa" w:w="120"/>
              <w:bottom w:type="dxa" w:w="80"/>
              <w:right w:type="dxa" w:w="120"/>
            </w:tcMar>
            <w:vAlign w:val="center"/>
          </w:tcPr>
          <w:p>
            <w:pPr>
              <w:jc w:val="left"/>
            </w:pPr>
            <w:r>
              <w:rPr>
                <w:b/>
                <w:bCs/>
                <w:color w:val="1A1A1A"/>
                <w:sz w:val="20"/>
                <w:szCs w:val="20"/>
              </w:rPr>
              <w:t xml:space="preserve">Vendor claims data ownership</w:t>
            </w:r>
          </w:p>
        </w:tc>
        <w:tc>
          <w:tcPr>
            <w:tcW w:type="dxa" w:w="5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Legal &amp; Compliance (Immediate Escalation)</w:t>
            </w:r>
          </w:p>
        </w:tc>
      </w:tr>
      <w:tr>
        <w:tc>
          <w:tcPr>
            <w:tcW w:type="dxa" w:w="5500"/>
            <w:shd w:fill="F2F2F2" w:val="clear"/>
            <w:tcMar>
              <w:top w:type="dxa" w:w="80"/>
              <w:left w:type="dxa" w:w="120"/>
              <w:bottom w:type="dxa" w:w="80"/>
              <w:right w:type="dxa" w:w="120"/>
            </w:tcMar>
            <w:vAlign w:val="center"/>
          </w:tcPr>
          <w:p>
            <w:pPr>
              <w:jc w:val="left"/>
            </w:pPr>
            <w:r>
              <w:rPr>
                <w:b/>
                <w:bCs/>
                <w:color w:val="1A1A1A"/>
                <w:sz w:val="20"/>
                <w:szCs w:val="20"/>
              </w:rPr>
              <w:t xml:space="preserve">Data deletion period &gt; 30 days post-termination</w:t>
            </w:r>
          </w:p>
        </w:tc>
        <w:tc>
          <w:tcPr>
            <w:tcW w:type="dxa" w:w="5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Legal &amp; Compliance</w:t>
            </w:r>
          </w:p>
        </w:tc>
      </w:tr>
      <w:tr>
        <w:tc>
          <w:tcPr>
            <w:tcW w:type="dxa" w:w="5500"/>
            <w:shd w:fill="FFFFFF" w:val="clear"/>
            <w:tcMar>
              <w:top w:type="dxa" w:w="80"/>
              <w:left w:type="dxa" w:w="120"/>
              <w:bottom w:type="dxa" w:w="80"/>
              <w:right w:type="dxa" w:w="120"/>
            </w:tcMar>
            <w:vAlign w:val="center"/>
          </w:tcPr>
          <w:p>
            <w:pPr>
              <w:jc w:val="left"/>
            </w:pPr>
            <w:r>
              <w:rPr>
                <w:b/>
                <w:bCs/>
                <w:color w:val="1A1A1A"/>
                <w:sz w:val="20"/>
                <w:szCs w:val="20"/>
              </w:rPr>
              <w:t xml:space="preserve">Auto-renewal notice &lt; 30 days</w:t>
            </w:r>
          </w:p>
        </w:tc>
        <w:tc>
          <w:tcPr>
            <w:tcW w:type="dxa" w:w="5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Head of Procurement</w:t>
            </w:r>
          </w:p>
        </w:tc>
      </w:tr>
    </w:tbl>
    <w:p>
      <w:pPr>
        <w:pStyle w:val="Heading2"/>
        <w:spacing w:after="120" w:before="260"/>
      </w:pPr>
      <w:r>
        <w:rPr>
          <w:b/>
          <w:bCs/>
          <w:color w:val="1F3864"/>
          <w:sz w:val="24"/>
          <w:szCs w:val="24"/>
        </w:rPr>
        <w:t xml:space="preserve">5.2 Negotiation Exception Log — Required Fields</w:t>
      </w:r>
    </w:p>
    <w:p>
      <w:pPr>
        <w:spacing w:after="120"/>
      </w:pPr>
      <w:r>
        <w:rPr>
          <w:sz w:val="21"/>
          <w:szCs w:val="21"/>
        </w:rPr>
        <w:t xml:space="preserve">Every Hard Constraint violation raised during negotiation must be logged with the following minimum information before escalation:</w:t>
      </w:r>
    </w:p>
    <w:p>
      <w:pPr>
        <w:pStyle w:val="ListParagraph"/>
        <w:numPr>
          <w:ilvl w:val="0"/>
          <w:numId w:val="1"/>
        </w:numPr>
        <w:spacing w:after="60"/>
      </w:pPr>
      <w:r>
        <w:rPr>
          <w:sz w:val="21"/>
          <w:szCs w:val="21"/>
        </w:rPr>
        <w:t xml:space="preserve">Vendor name and contract reference number</w:t>
      </w:r>
    </w:p>
    <w:p>
      <w:pPr>
        <w:pStyle w:val="ListParagraph"/>
        <w:numPr>
          <w:ilvl w:val="0"/>
          <w:numId w:val="1"/>
        </w:numPr>
        <w:spacing w:after="60"/>
      </w:pPr>
      <w:r>
        <w:rPr>
          <w:sz w:val="21"/>
          <w:szCs w:val="21"/>
        </w:rPr>
        <w:t xml:space="preserve">Clause reference and verbatim proposed language</w:t>
      </w:r>
    </w:p>
    <w:p>
      <w:pPr>
        <w:pStyle w:val="ListParagraph"/>
        <w:numPr>
          <w:ilvl w:val="0"/>
          <w:numId w:val="1"/>
        </w:numPr>
        <w:spacing w:after="60"/>
      </w:pPr>
      <w:r>
        <w:rPr>
          <w:sz w:val="21"/>
          <w:szCs w:val="21"/>
        </w:rPr>
        <w:t xml:space="preserve">Hard Constraint breached and the approved standard</w:t>
      </w:r>
    </w:p>
    <w:p>
      <w:pPr>
        <w:pStyle w:val="ListParagraph"/>
        <w:numPr>
          <w:ilvl w:val="0"/>
          <w:numId w:val="1"/>
        </w:numPr>
        <w:spacing w:after="60"/>
      </w:pPr>
      <w:r>
        <w:rPr>
          <w:sz w:val="21"/>
          <w:szCs w:val="21"/>
        </w:rPr>
        <w:t xml:space="preserve">Vendor's justification (if provided)</w:t>
      </w:r>
    </w:p>
    <w:p>
      <w:pPr>
        <w:pStyle w:val="ListParagraph"/>
        <w:numPr>
          <w:ilvl w:val="0"/>
          <w:numId w:val="1"/>
        </w:numPr>
        <w:spacing w:after="60"/>
      </w:pPr>
      <w:r>
        <w:rPr>
          <w:sz w:val="21"/>
          <w:szCs w:val="21"/>
        </w:rPr>
        <w:t xml:space="preserve">Alternative(s) proposed by the negotiator/agent and vendor response</w:t>
      </w:r>
    </w:p>
    <w:p>
      <w:pPr>
        <w:pStyle w:val="ListParagraph"/>
        <w:numPr>
          <w:ilvl w:val="0"/>
          <w:numId w:val="1"/>
        </w:numPr>
        <w:spacing w:after="60"/>
      </w:pPr>
      <w:r>
        <w:rPr>
          <w:sz w:val="21"/>
          <w:szCs w:val="21"/>
        </w:rPr>
        <w:t xml:space="preserve">Escalation owner notified and date of escalation</w:t>
      </w:r>
    </w:p>
    <w:p>
      <w:pPr>
        <w:pStyle w:val="ListParagraph"/>
        <w:numPr>
          <w:ilvl w:val="0"/>
          <w:numId w:val="1"/>
        </w:numPr>
        <w:spacing w:after="60"/>
      </w:pPr>
      <w:r>
        <w:rPr>
          <w:sz w:val="21"/>
          <w:szCs w:val="21"/>
        </w:rPr>
        <w:t xml:space="preserve">Final resolution and approval reference (or record of rejection)</w:t>
      </w:r>
    </w:p>
    <w:p>
      <w:pPr>
        <w:pStyle w:val="Heading2"/>
        <w:spacing w:after="120" w:before="260"/>
      </w:pPr>
      <w:r>
        <w:rPr>
          <w:b/>
          <w:bCs/>
          <w:color w:val="1F3864"/>
          <w:sz w:val="24"/>
          <w:szCs w:val="24"/>
        </w:rPr>
        <w:t xml:space="preserve">5.3 Timelines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500"/>
        <w:gridCol w:w="5000"/>
      </w:tblGrid>
      <w:tr>
        <w:trPr>
          <w:tblHeader/>
        </w:trPr>
        <w:tc>
          <w:tcPr>
            <w:tcW w:type="dxa" w:w="5500"/>
            <w:shd w:fill="1F3864" w:val="clear"/>
            <w:tcMar>
              <w:top w:type="dxa" w:w="80"/>
              <w:left w:type="dxa" w:w="120"/>
              <w:bottom w:type="dxa" w:w="80"/>
              <w:right w:type="dxa" w:w="120"/>
            </w:tcMar>
            <w:vAlign w:val="center"/>
          </w:tcPr>
          <w:p>
            <w:pPr>
              <w:jc w:val="left"/>
            </w:pPr>
            <w:r>
              <w:rPr>
                <w:b/>
                <w:bCs/>
                <w:color w:val="FFFFFF"/>
                <w:sz w:val="20"/>
                <w:szCs w:val="20"/>
              </w:rPr>
              <w:t xml:space="preserve">Escalation Step</w:t>
            </w:r>
          </w:p>
        </w:tc>
        <w:tc>
          <w:tcPr>
            <w:tcW w:type="dxa" w:w="5000"/>
            <w:shd w:fill="1F3864" w:val="clear"/>
            <w:tcMar>
              <w:top w:type="dxa" w:w="80"/>
              <w:left w:type="dxa" w:w="120"/>
              <w:bottom w:type="dxa" w:w="80"/>
              <w:right w:type="dxa" w:w="120"/>
            </w:tcMar>
            <w:vAlign w:val="center"/>
          </w:tcPr>
          <w:p>
            <w:pPr>
              <w:jc w:val="left"/>
            </w:pPr>
            <w:r>
              <w:rPr>
                <w:b/>
                <w:bCs/>
                <w:color w:val="FFFFFF"/>
                <w:sz w:val="20"/>
                <w:szCs w:val="20"/>
              </w:rPr>
              <w:t xml:space="preserve">Target Turnaround</w:t>
            </w:r>
          </w:p>
        </w:tc>
      </w:tr>
      <w:tr>
        <w:tc>
          <w:tcPr>
            <w:tcW w:type="dxa" w:w="5500"/>
            <w:shd w:fill="F2F2F2" w:val="clear"/>
            <w:tcMar>
              <w:top w:type="dxa" w:w="80"/>
              <w:left w:type="dxa" w:w="120"/>
              <w:bottom w:type="dxa" w:w="80"/>
              <w:right w:type="dxa" w:w="120"/>
            </w:tcMar>
            <w:vAlign w:val="center"/>
          </w:tcPr>
          <w:p>
            <w:pPr>
              <w:jc w:val="left"/>
            </w:pPr>
            <w:r>
              <w:rPr>
                <w:b/>
                <w:bCs/>
                <w:color w:val="1A1A1A"/>
                <w:sz w:val="20"/>
                <w:szCs w:val="20"/>
              </w:rPr>
              <w:t xml:space="preserve">Logging the violation</w:t>
            </w:r>
          </w:p>
        </w:tc>
        <w:tc>
          <w:tcPr>
            <w:tcW w:type="dxa" w:w="5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Same business day as identification</w:t>
            </w:r>
          </w:p>
        </w:tc>
      </w:tr>
      <w:tr>
        <w:tc>
          <w:tcPr>
            <w:tcW w:type="dxa" w:w="5500"/>
            <w:shd w:fill="FFFFFF" w:val="clear"/>
            <w:tcMar>
              <w:top w:type="dxa" w:w="80"/>
              <w:left w:type="dxa" w:w="120"/>
              <w:bottom w:type="dxa" w:w="80"/>
              <w:right w:type="dxa" w:w="120"/>
            </w:tcMar>
            <w:vAlign w:val="center"/>
          </w:tcPr>
          <w:p>
            <w:pPr>
              <w:jc w:val="left"/>
            </w:pPr>
            <w:r>
              <w:rPr>
                <w:b/>
                <w:bCs/>
                <w:color w:val="1A1A1A"/>
                <w:sz w:val="20"/>
                <w:szCs w:val="20"/>
              </w:rPr>
              <w:t xml:space="preserve">First attempt at compliant alternative</w:t>
            </w:r>
          </w:p>
        </w:tc>
        <w:tc>
          <w:tcPr>
            <w:tcW w:type="dxa" w:w="5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Within 2 business days</w:t>
            </w:r>
          </w:p>
        </w:tc>
      </w:tr>
      <w:tr>
        <w:tc>
          <w:tcPr>
            <w:tcW w:type="dxa" w:w="5500"/>
            <w:shd w:fill="F2F2F2" w:val="clear"/>
            <w:tcMar>
              <w:top w:type="dxa" w:w="80"/>
              <w:left w:type="dxa" w:w="120"/>
              <w:bottom w:type="dxa" w:w="80"/>
              <w:right w:type="dxa" w:w="120"/>
            </w:tcMar>
            <w:vAlign w:val="center"/>
          </w:tcPr>
          <w:p>
            <w:pPr>
              <w:jc w:val="left"/>
            </w:pPr>
            <w:r>
              <w:rPr>
                <w:b/>
                <w:bCs/>
                <w:color w:val="1A1A1A"/>
                <w:sz w:val="20"/>
                <w:szCs w:val="20"/>
              </w:rPr>
              <w:t xml:space="preserve">Escalation to approver (if unresolved)</w:t>
            </w:r>
          </w:p>
        </w:tc>
        <w:tc>
          <w:tcPr>
            <w:tcW w:type="dxa" w:w="5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Within 1 business day of failed negotiation</w:t>
            </w:r>
          </w:p>
        </w:tc>
      </w:tr>
      <w:tr>
        <w:tc>
          <w:tcPr>
            <w:tcW w:type="dxa" w:w="5500"/>
            <w:shd w:fill="FFFFFF" w:val="clear"/>
            <w:tcMar>
              <w:top w:type="dxa" w:w="80"/>
              <w:left w:type="dxa" w:w="120"/>
              <w:bottom w:type="dxa" w:w="80"/>
              <w:right w:type="dxa" w:w="120"/>
            </w:tcMar>
            <w:vAlign w:val="center"/>
          </w:tcPr>
          <w:p>
            <w:pPr>
              <w:jc w:val="left"/>
            </w:pPr>
            <w:r>
              <w:rPr>
                <w:b/>
                <w:bCs/>
                <w:color w:val="1A1A1A"/>
                <w:sz w:val="20"/>
                <w:szCs w:val="20"/>
              </w:rPr>
              <w:t xml:space="preserve">Approver decision</w:t>
            </w:r>
          </w:p>
        </w:tc>
        <w:tc>
          <w:tcPr>
            <w:tcW w:type="dxa" w:w="5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Within 5 business days of escalation</w:t>
            </w:r>
          </w:p>
        </w:tc>
      </w:tr>
    </w:tbl>
    <w:p>
      <w:pPr>
        <w:pageBreakBefore/>
      </w:pPr>
    </w:p>
    <w:p>
      <w:pPr>
        <w:pStyle w:val="Heading1"/>
        <w:pBdr>
          <w:bottom w:val="single" w:color="1F3864" w:sz="8" w:space="4"/>
        </w:pBdr>
        <w:spacing w:after="160" w:before="360"/>
      </w:pPr>
      <w:r>
        <w:rPr>
          <w:b/>
          <w:bCs/>
          <w:color w:val="1F3864"/>
          <w:sz w:val="30"/>
          <w:szCs w:val="30"/>
        </w:rPr>
        <w:t xml:space="preserve">6. Roles &amp; Responsibilities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7300"/>
            <w:shd w:fill="1F3864" w:val="clear"/>
            <w:tcMar>
              <w:top w:type="dxa" w:w="80"/>
              <w:left w:type="dxa" w:w="120"/>
              <w:bottom w:type="dxa" w:w="80"/>
              <w:right w:type="dxa" w:w="120"/>
            </w:tcMar>
            <w:vAlign w:val="center"/>
          </w:tcPr>
          <w:p>
            <w:pPr>
              <w:jc w:val="left"/>
            </w:pPr>
            <w:r>
              <w:rPr>
                <w:b/>
                <w:bCs/>
                <w:color w:val="FFFFFF"/>
                <w:sz w:val="20"/>
                <w:szCs w:val="20"/>
              </w:rPr>
              <w:t xml:space="preserve">Responsibility</w:t>
            </w:r>
          </w:p>
        </w:tc>
      </w:tr>
      <w:tr>
        <w:tc>
          <w:tcPr>
            <w:tcW w:type="dxa" w:w="3200"/>
            <w:shd w:fill="F2F2F2" w:val="clear"/>
            <w:tcMar>
              <w:top w:type="dxa" w:w="80"/>
              <w:left w:type="dxa" w:w="120"/>
              <w:bottom w:type="dxa" w:w="80"/>
              <w:right w:type="dxa" w:w="120"/>
            </w:tcMar>
            <w:vAlign w:val="center"/>
          </w:tcPr>
          <w:p>
            <w:pPr>
              <w:jc w:val="left"/>
            </w:pPr>
            <w:r>
              <w:rPr>
                <w:b/>
                <w:bCs/>
                <w:color w:val="1A1A1A"/>
                <w:sz w:val="20"/>
                <w:szCs w:val="20"/>
              </w:rPr>
              <w:t xml:space="preserve">Category Manager / Negotiator</w:t>
            </w:r>
          </w:p>
        </w:tc>
        <w:tc>
          <w:tcPr>
            <w:tcW w:type="dxa" w:w="7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Leads day-to-day negotiation; applies Sections 2–4; logs exceptions.</w:t>
            </w:r>
          </w:p>
        </w:tc>
      </w:tr>
      <w:tr>
        <w:tc>
          <w:tcPr>
            <w:tcW w:type="dxa" w:w="3200"/>
            <w:shd w:fill="FFFFFF" w:val="clear"/>
            <w:tcMar>
              <w:top w:type="dxa" w:w="80"/>
              <w:left w:type="dxa" w:w="120"/>
              <w:bottom w:type="dxa" w:w="80"/>
              <w:right w:type="dxa" w:w="120"/>
            </w:tcMar>
            <w:vAlign w:val="center"/>
          </w:tcPr>
          <w:p>
            <w:pPr>
              <w:jc w:val="left"/>
            </w:pPr>
            <w:r>
              <w:rPr>
                <w:b/>
                <w:bCs/>
                <w:color w:val="1A1A1A"/>
                <w:sz w:val="20"/>
                <w:szCs w:val="20"/>
              </w:rPr>
              <w:t xml:space="preserve">Negotiation Agent (AI-assisted)</w:t>
            </w:r>
          </w:p>
        </w:tc>
        <w:tc>
          <w:tcPr>
            <w:tcW w:type="dxa" w:w="7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Applies Hard Constraints and Soft Preferences automatically; must halt and escalate rather than auto-accept any Hard Constraint breach.</w:t>
            </w:r>
          </w:p>
        </w:tc>
      </w:tr>
      <w:tr>
        <w:tc>
          <w:tcPr>
            <w:tcW w:type="dxa" w:w="3200"/>
            <w:shd w:fill="F2F2F2" w:val="clear"/>
            <w:tcMar>
              <w:top w:type="dxa" w:w="80"/>
              <w:left w:type="dxa" w:w="120"/>
              <w:bottom w:type="dxa" w:w="80"/>
              <w:right w:type="dxa" w:w="120"/>
            </w:tcMar>
            <w:vAlign w:val="center"/>
          </w:tcPr>
          <w:p>
            <w:pPr>
              <w:jc w:val="left"/>
            </w:pPr>
            <w:r>
              <w:rPr>
                <w:b/>
                <w:bCs/>
                <w:color w:val="1A1A1A"/>
                <w:sz w:val="20"/>
                <w:szCs w:val="20"/>
              </w:rPr>
              <w:t xml:space="preserve">Head of Procurement</w:t>
            </w:r>
          </w:p>
        </w:tc>
        <w:tc>
          <w:tcPr>
            <w:tcW w:type="dxa" w:w="7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Owns this playbook; approves escalations for termination-notice and SLA/auto-renewal exceptions; signs off final vendor selection.</w:t>
            </w:r>
          </w:p>
        </w:tc>
      </w:tr>
      <w:tr>
        <w:tc>
          <w:tcPr>
            <w:tcW w:type="dxa" w:w="3200"/>
            <w:shd w:fill="FFFFFF" w:val="clear"/>
            <w:tcMar>
              <w:top w:type="dxa" w:w="80"/>
              <w:left w:type="dxa" w:w="120"/>
              <w:bottom w:type="dxa" w:w="80"/>
              <w:right w:type="dxa" w:w="120"/>
            </w:tcMar>
            <w:vAlign w:val="center"/>
          </w:tcPr>
          <w:p>
            <w:pPr>
              <w:jc w:val="left"/>
            </w:pPr>
            <w:r>
              <w:rPr>
                <w:b/>
                <w:bCs/>
                <w:color w:val="1A1A1A"/>
                <w:sz w:val="20"/>
                <w:szCs w:val="20"/>
              </w:rPr>
              <w:t xml:space="preserve">Finance Controller</w:t>
            </w:r>
          </w:p>
        </w:tc>
        <w:tc>
          <w:tcPr>
            <w:tcW w:type="dxa" w:w="7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Approves exceptions to payment terms; validates ACV and liability cap sizing.</w:t>
            </w:r>
          </w:p>
        </w:tc>
      </w:tr>
      <w:tr>
        <w:tc>
          <w:tcPr>
            <w:tcW w:type="dxa" w:w="3200"/>
            <w:shd w:fill="F2F2F2" w:val="clear"/>
            <w:tcMar>
              <w:top w:type="dxa" w:w="80"/>
              <w:left w:type="dxa" w:w="120"/>
              <w:bottom w:type="dxa" w:w="80"/>
              <w:right w:type="dxa" w:w="120"/>
            </w:tcMar>
            <w:vAlign w:val="center"/>
          </w:tcPr>
          <w:p>
            <w:pPr>
              <w:jc w:val="left"/>
            </w:pPr>
            <w:r>
              <w:rPr>
                <w:b/>
                <w:bCs/>
                <w:color w:val="1A1A1A"/>
                <w:sz w:val="20"/>
                <w:szCs w:val="20"/>
              </w:rPr>
              <w:t xml:space="preserve">Legal &amp; Compliance</w:t>
            </w:r>
          </w:p>
        </w:tc>
        <w:tc>
          <w:tcPr>
            <w:tcW w:type="dxa" w:w="7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Approves exceptions to termination notice, liability cap, data ownership, and data deletion terms; reviews final contract redlines.</w:t>
            </w:r>
          </w:p>
        </w:tc>
      </w:tr>
      <w:tr>
        <w:tc>
          <w:tcPr>
            <w:tcW w:type="dxa" w:w="3200"/>
            <w:shd w:fill="FFFFFF" w:val="clear"/>
            <w:tcMar>
              <w:top w:type="dxa" w:w="80"/>
              <w:left w:type="dxa" w:w="120"/>
              <w:bottom w:type="dxa" w:w="80"/>
              <w:right w:type="dxa" w:w="120"/>
            </w:tcMar>
            <w:vAlign w:val="center"/>
          </w:tcPr>
          <w:p>
            <w:pPr>
              <w:jc w:val="left"/>
            </w:pPr>
            <w:r>
              <w:rPr>
                <w:b/>
                <w:bCs/>
                <w:color w:val="1A1A1A"/>
                <w:sz w:val="20"/>
                <w:szCs w:val="20"/>
              </w:rPr>
              <w:t xml:space="preserve">CFO / Executive Sponsor</w:t>
            </w:r>
          </w:p>
        </w:tc>
        <w:tc>
          <w:tcPr>
            <w:tcW w:type="dxa" w:w="7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Approves price escalation exceptions above 5%; final authority on material commercial deviations.</w:t>
            </w:r>
          </w:p>
        </w:tc>
      </w:tr>
    </w:tbl>
    <w:p>
      <w:pPr>
        <w:pStyle w:val="Heading1"/>
        <w:pBdr>
          <w:bottom w:val="single" w:color="1F3864" w:sz="8" w:space="4"/>
        </w:pBdr>
        <w:spacing w:after="160" w:before="360"/>
      </w:pPr>
      <w:r>
        <w:rPr>
          <w:b/>
          <w:bCs/>
          <w:color w:val="1F3864"/>
          <w:sz w:val="30"/>
          <w:szCs w:val="30"/>
        </w:rPr>
        <w:t xml:space="preserve">7. Governance</w:t>
      </w:r>
    </w:p>
    <w:p>
      <w:pPr>
        <w:pStyle w:val="ListParagraph"/>
        <w:numPr>
          <w:ilvl w:val="0"/>
          <w:numId w:val="1"/>
        </w:numPr>
        <w:spacing w:after="60"/>
      </w:pPr>
      <w:r>
        <w:rPr>
          <w:sz w:val="21"/>
          <w:szCs w:val="21"/>
        </w:rPr>
        <w:t xml:space="preserve">This playbook must be reviewed at least annually by Procurement, Finance, and Legal, and updated to reflect changes in company risk appetite, statutory obligations, or market conditions.</w:t>
      </w:r>
    </w:p>
    <w:p>
      <w:pPr>
        <w:pStyle w:val="ListParagraph"/>
        <w:numPr>
          <w:ilvl w:val="0"/>
          <w:numId w:val="1"/>
        </w:numPr>
        <w:spacing w:after="60"/>
      </w:pPr>
      <w:r>
        <w:rPr>
          <w:sz w:val="21"/>
          <w:szCs w:val="21"/>
        </w:rPr>
        <w:t xml:space="preserve">All final executed contracts must be reconciled against this playbook prior to signature by an authorised Raccoon Manufacturing India Pvt. Ltd. signatory.</w:t>
      </w:r>
    </w:p>
    <w:p>
      <w:pPr>
        <w:pStyle w:val="ListParagraph"/>
        <w:numPr>
          <w:ilvl w:val="0"/>
          <w:numId w:val="1"/>
        </w:numPr>
        <w:spacing w:after="60"/>
      </w:pPr>
      <w:r>
        <w:rPr>
          <w:sz w:val="21"/>
          <w:szCs w:val="21"/>
        </w:rPr>
        <w:t xml:space="preserve">Any deviation approved under the Escalation Protocol must be retained in the Negotiation Exception Log for audit purposes for the life of the contract plus 3 years.</w:t>
      </w:r>
    </w:p>
    <w:p>
      <w:pPr>
        <w:pStyle w:val="ListParagraph"/>
        <w:numPr>
          <w:ilvl w:val="0"/>
          <w:numId w:val="1"/>
        </w:numPr>
        <w:spacing w:after="60"/>
      </w:pPr>
      <w:r>
        <w:rPr>
          <w:sz w:val="21"/>
          <w:szCs w:val="21"/>
        </w:rPr>
        <w:t xml:space="preserve">This document is Confidential and for internal use only. It must not be shared with vendors or external parties.</w:t>
      </w:r>
    </w:p>
    <w:p>
      <w:pPr>
        <w:spacing w:after="300"/>
      </w:pPr>
    </w:p>
    <w:p>
      <w:pPr>
        <w:pBdr>
          <w:top w:val="single" w:color="B0B0B0" w:sz="4" w:space="8"/>
        </w:pBdr>
        <w:spacing w:before="200"/>
        <w:jc w:val="center"/>
      </w:pPr>
      <w:r>
        <w:rPr>
          <w:i/>
          <w:iCs/>
          <w:color w:val="808080"/>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Raccoon Manufacturing India Pvt. Ltd.  |  Procurement &amp; Vendor Management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0B0" w:sz="4" w:space="4"/>
      </w:pBdr>
      <w:tabs>
        <w:tab w:val="right" w:pos="9026"/>
      </w:tabs>
    </w:pPr>
    <w:r>
      <w:rPr>
        <w:color w:val="808080"/>
        <w:sz w:val="16"/>
        <w:szCs w:val="16"/>
      </w:rPr>
      <w:t xml:space="preserve">CONFIDENTIAL — INTERNAL USE ONLY</w:t>
    </w:r>
    <w:r>
      <w:rPr>
        <w:color w:val="808080"/>
        <w:sz w:val="16"/>
        <w:szCs w:val="16"/>
      </w:rPr>
      <w:t xml:space="preserve">	Vendor Contract Negotiation Playbook — FY2026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2026-09-06T05:27:52.426Z</dcterms:created>
  <dcterms:modified xsi:type="dcterms:W3CDTF">2026-09-06T05:27:52.436Z</dcterms:modified>
</cp:coreProperties>
</file>

<file path=docProps/custom.xml><?xml version="1.0" encoding="utf-8"?>
<Properties xmlns="http://schemas.openxmlformats.org/officeDocument/2006/custom-properties" xmlns:vt="http://schemas.openxmlformats.org/officeDocument/2006/docPropsVTypes"/>
</file>