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Times New Roman" w:hAnsi="Times New Roman"/>
          <w:b/>
          <w:i w:val="0"/>
          <w:color w:val="000000"/>
          <w:sz w:val="32"/>
        </w:rPr>
        <w:t>A Context Grounded Agentic System for Web and API Test Generation and Execution</w:t>
      </w:r>
    </w:p>
    <w:p>
      <w:pPr>
        <w:spacing w:after="280"/>
        <w:jc w:val="center"/>
      </w:pPr>
      <w:r>
        <w:rPr>
          <w:rFonts w:ascii="Times New Roman" w:hAnsi="Times New Roman"/>
          <w:b w:val="0"/>
          <w:i/>
          <w:color w:val="000000"/>
          <w:sz w:val="22"/>
        </w:rPr>
        <w:t>Technical Journal Manuscript</w:t>
      </w:r>
    </w:p>
    <w:p>
      <w:pPr>
        <w:keepNext/>
        <w:spacing w:before="260" w:after="100"/>
      </w:pPr>
      <w:r>
        <w:rPr>
          <w:rFonts w:ascii="Times New Roman" w:hAnsi="Times New Roman"/>
          <w:b/>
          <w:i w:val="0"/>
          <w:color w:val="000000"/>
          <w:sz w:val="24"/>
        </w:rPr>
        <w:t>Abstract</w:t>
      </w:r>
    </w:p>
    <w:p>
      <w:pPr>
        <w:spacing w:after="120" w:line="269" w:lineRule="auto"/>
      </w:pPr>
      <w:r>
        <w:rPr>
          <w:rFonts w:ascii="Times New Roman" w:hAnsi="Times New Roman"/>
          <w:b w:val="0"/>
          <w:i w:val="0"/>
          <w:color w:val="000000"/>
          <w:sz w:val="22"/>
        </w:rPr>
        <w:t>Automated test generation must translate incomplete natural-language intent and volatile interface state into executable checks. This paper presents AQUA, a full-stack system for assisted web and API testing. AQUA collects interactive page elements, stores their semantic representations in a vector index, prompts a configurable language model to produce structured UI or security test cases, converts UI tests to Playwright scripts, executes them, and records outcomes in MongoDB. A separate API path parses imported OpenAPI or Postman material, constrains language-model-generated cases to declared operations, executes assertions, redacts sensitive evidence, and supports variable-passing workflows. The implementation includes a bounded one-step agent that selects whether to generate UI tests from summarized project state. This work is an implementation and verification study, not a comparative performance claim: repository evidence demonstrates route contracts, schema validation, deterministic fallback behavior, readiness checks, workflow propagation, and sensitive-field redaction, but it contains no benchmark corpus, controlled baseline, or statistical outcome study. The contribution is therefore an auditable architecture that combines context construction, constrained generation, executable verification, and evidence handling across browser and API testing. The paper also specifies the evaluation needed to establish effectiveness in future work.</w:t>
      </w:r>
    </w:p>
    <w:p>
      <w:pPr>
        <w:keepNext/>
        <w:spacing w:before="260" w:after="100"/>
      </w:pPr>
      <w:r>
        <w:rPr>
          <w:rFonts w:ascii="Times New Roman" w:hAnsi="Times New Roman"/>
          <w:b/>
          <w:i w:val="0"/>
          <w:color w:val="000000"/>
          <w:sz w:val="24"/>
        </w:rPr>
        <w:t>Keywords</w:t>
      </w:r>
    </w:p>
    <w:p>
      <w:pPr>
        <w:spacing w:after="120" w:line="269" w:lineRule="auto"/>
      </w:pPr>
      <w:r>
        <w:rPr>
          <w:rFonts w:ascii="Times New Roman" w:hAnsi="Times New Roman"/>
          <w:b w:val="0"/>
          <w:i w:val="0"/>
          <w:color w:val="000000"/>
          <w:sz w:val="22"/>
        </w:rPr>
        <w:t>automated software testing, large language models, retrieval-augmented generation, Playwright, OpenAPI, agentic software engineering</w:t>
      </w:r>
    </w:p>
    <w:p>
      <w:pPr>
        <w:keepNext/>
        <w:spacing w:before="260" w:after="100"/>
      </w:pPr>
      <w:r>
        <w:rPr>
          <w:rFonts w:ascii="Times New Roman" w:hAnsi="Times New Roman"/>
          <w:b/>
          <w:i w:val="0"/>
          <w:color w:val="000000"/>
          <w:sz w:val="24"/>
        </w:rPr>
        <w:t>I. INTRODUCTION</w:t>
      </w:r>
    </w:p>
    <w:p>
      <w:pPr>
        <w:spacing w:after="120" w:line="269" w:lineRule="auto"/>
      </w:pPr>
      <w:r>
        <w:rPr>
          <w:rFonts w:ascii="Times New Roman" w:hAnsi="Times New Roman"/>
          <w:b w:val="0"/>
          <w:i w:val="0"/>
          <w:color w:val="000000"/>
          <w:sz w:val="22"/>
        </w:rPr>
        <w:t>Test automation has long included random, search-based, symbolic, and learning-based generation methods. Recent mapping work shows that machine learning has been applied to test-input and oracle-related tasks across several testing levels [1]. Large language models (LLMs) add a flexible natural-language interface to this space, but generated tests remain useful only when they are grounded in the target system and verified by execution. In educational and quality-assurance settings, a further requirement is actionable evidence rather than an opaque generated script. Automated feedback research similarly identifies a broad range of techniques and a continuing need for feedback that is useful to learners and instructors [5].</w:t>
      </w:r>
    </w:p>
    <w:p>
      <w:pPr>
        <w:spacing w:after="120" w:line="269" w:lineRule="auto"/>
      </w:pPr>
      <w:r>
        <w:rPr>
          <w:rFonts w:ascii="Times New Roman" w:hAnsi="Times New Roman"/>
          <w:b w:val="0"/>
          <w:i w:val="0"/>
          <w:color w:val="000000"/>
          <w:sz w:val="22"/>
        </w:rPr>
        <w:t>AQUA addresses this engineering problem for browser-facing applications and APIs. Its core design is not a new language model or a new test-generation algorithm. Rather, it composes target inspection, local retrieval, structured generation, executable validation, persistence, security-oriented checks, and a React user interface into a single service. This framing matters because the repository does not contain a benchmark comparison or user study. Accordingly, this paper makes implementation-supported claims and explicitly avoids asserting superior coverage, fault detection, educational benefit, or security effectiveness.</w:t>
      </w:r>
    </w:p>
    <w:p>
      <w:pPr>
        <w:spacing w:after="120" w:line="269" w:lineRule="auto"/>
      </w:pPr>
      <w:r>
        <w:rPr>
          <w:rFonts w:ascii="Times New Roman" w:hAnsi="Times New Roman"/>
          <w:b w:val="0"/>
          <w:i w:val="0"/>
          <w:color w:val="000000"/>
          <w:sz w:val="22"/>
        </w:rPr>
        <w:t>The contributions are: (1) a context-grounded UI-testing pipeline that ingests page elements into a URL-scoped vector store and uses them when generating browser scripts; (2) an API-testing path that constrains generated cases to normalized imported operations and executes assertions with evidence redaction; (3) an execution protocol that separates script production, real Playwright execution, waiting-for-input handling, and post-execution verdicting; and (4) an evidence-oriented evaluation account that distinguishes verified repository behavior from unmeasured effectiveness.</w:t>
      </w:r>
    </w:p>
    <w:p>
      <w:pPr>
        <w:keepNext/>
        <w:spacing w:before="260" w:after="100"/>
      </w:pPr>
      <w:r>
        <w:rPr>
          <w:rFonts w:ascii="Times New Roman" w:hAnsi="Times New Roman"/>
          <w:b/>
          <w:i w:val="0"/>
          <w:color w:val="000000"/>
          <w:sz w:val="24"/>
        </w:rPr>
        <w:t>II. RELATED WORK</w:t>
      </w:r>
    </w:p>
    <w:p>
      <w:pPr>
        <w:spacing w:after="120" w:line="269" w:lineRule="auto"/>
      </w:pPr>
      <w:r>
        <w:rPr>
          <w:rFonts w:ascii="Times New Roman" w:hAnsi="Times New Roman"/>
          <w:b w:val="0"/>
          <w:i w:val="0"/>
          <w:color w:val="000000"/>
          <w:sz w:val="22"/>
        </w:rPr>
        <w:t>Traditional automated test generation spans symbolic execution, random generation, optimization, and learning. The systematic mapping by Fontes et al. [1] characterizes the increasing use of machine learning for inputs and test oracles. LLM-centered work has extended this trajectory. ChatUniTest [3] illustrates a generation-validation-repair framing for unit-test production, while broader empirical research identifies data leakage, validity, coverage, and bug detection as central evaluation concerns [4]. Mutation-oriented prompting studies likewise caution that code coverage alone is an incomplete proxy for bug-revealing value [2]. AQUA is complementary to these code-centric systems: it targets operational web interfaces and API contracts, where live target context and executable artifacts are primary inputs.</w:t>
      </w:r>
    </w:p>
    <w:p>
      <w:pPr>
        <w:spacing w:after="120" w:line="269" w:lineRule="auto"/>
      </w:pPr>
      <w:r>
        <w:rPr>
          <w:rFonts w:ascii="Times New Roman" w:hAnsi="Times New Roman"/>
          <w:b w:val="0"/>
          <w:i w:val="0"/>
          <w:color w:val="000000"/>
          <w:sz w:val="22"/>
        </w:rPr>
        <w:t>Retrieval augmentation provides a useful design principle for grounding a generator in external context. Lewis et al. [6] formalized the combination of parametric models with non-parametric retrieval for knowledge-intensive generation. AQUA uses a narrower, task-local interpretation: extracted interactive elements are represented as documents, indexed, and retrieved by URL and test-step query. This does not establish that retrieval improves quality; no ablation is present. It does, however, make the context path explicit and inspectable.</w:t>
      </w:r>
    </w:p>
    <w:p>
      <w:pPr>
        <w:spacing w:after="120" w:line="269" w:lineRule="auto"/>
      </w:pPr>
      <w:r>
        <w:rPr>
          <w:rFonts w:ascii="Times New Roman" w:hAnsi="Times New Roman"/>
          <w:b w:val="0"/>
          <w:i w:val="0"/>
          <w:color w:val="000000"/>
          <w:sz w:val="22"/>
        </w:rPr>
        <w:t>In programming education, systematic reviews document automated feedback systems that range from tests and static analysis to program transformation [5]. Recent work on LLM-assisted feedback reports both opportunities and quality risks, underscoring the importance of execution-grounded evidence rather than free-form advice [7]. AQUA can support testing and feedback workflows, but it has not been evaluated with students. It should therefore be positioned as infrastructure for future instructional evaluation, not as evidence of learning gains.</w:t>
      </w:r>
    </w:p>
    <w:p>
      <w:pPr>
        <w:keepNext/>
        <w:spacing w:before="260" w:after="100"/>
      </w:pPr>
      <w:r>
        <w:rPr>
          <w:rFonts w:ascii="Times New Roman" w:hAnsi="Times New Roman"/>
          <w:b/>
          <w:i w:val="0"/>
          <w:color w:val="000000"/>
          <w:sz w:val="24"/>
        </w:rPr>
        <w:t>III. PROBLEM FORMULATION AND RESEARCH MOTIVATION</w:t>
      </w:r>
    </w:p>
    <w:p>
      <w:pPr>
        <w:spacing w:after="120" w:line="269" w:lineRule="auto"/>
      </w:pPr>
      <w:r>
        <w:rPr>
          <w:rFonts w:ascii="Times New Roman" w:hAnsi="Times New Roman"/>
          <w:b w:val="0"/>
          <w:i w:val="0"/>
          <w:color w:val="000000"/>
          <w:sz w:val="22"/>
        </w:rPr>
        <w:t>Let a target be either a web address u or an API specification s. For a web target, the system extracts an element set E(u) from fetched HTML. For an API target, it normalizes declared operations O(s) = {(method, path)}. A generator produces a candidate test set T from target context. Correctness is operational: a browser test is meaningful only after script execution and an API test is admissible only when its method and path belong to O(s). The design objective is to preserve a traceable chain from target context to generated artifact to execution evidence.</w:t>
      </w:r>
    </w:p>
    <w:p>
      <w:pPr>
        <w:spacing w:after="120" w:line="269" w:lineRule="auto"/>
      </w:pPr>
      <w:r>
        <w:rPr>
          <w:rFonts w:ascii="Times New Roman" w:hAnsi="Times New Roman"/>
          <w:b w:val="0"/>
          <w:i w:val="0"/>
          <w:color w:val="000000"/>
          <w:sz w:val="22"/>
        </w:rPr>
        <w:t>This formulation separates two failure classes. Generation failures include malformed JSON, invented operations, and unsupported script output. Execution failures include target errors, timeouts, missing required inputs, and unmet assertions. Treating these classes separately is preferable to declaring a test successful merely because a model returned plausible text. It also enables storage of artifacts and failure reasons for later review.</w:t>
      </w:r>
    </w:p>
    <w:p>
      <w:pPr>
        <w:keepNext/>
        <w:spacing w:before="260" w:after="100"/>
      </w:pPr>
      <w:r>
        <w:rPr>
          <w:rFonts w:ascii="Times New Roman" w:hAnsi="Times New Roman"/>
          <w:b/>
          <w:i w:val="0"/>
          <w:color w:val="000000"/>
          <w:sz w:val="24"/>
        </w:rPr>
        <w:t>IV. SYSTEM DESIGN AND IMPLEMENTATION</w:t>
      </w:r>
    </w:p>
    <w:p>
      <w:pPr>
        <w:spacing w:after="120" w:line="269" w:lineRule="auto"/>
      </w:pPr>
      <w:r>
        <w:rPr>
          <w:rFonts w:ascii="Times New Roman" w:hAnsi="Times New Roman"/>
          <w:b w:val="0"/>
          <w:i w:val="0"/>
          <w:color w:val="000000"/>
          <w:sz w:val="22"/>
        </w:rPr>
        <w:t>AQUA contains a Vite/React frontend and a FastAPI backend. The backend lifecycle connects to MongoDB and ensures repository indexes for projects, API specifications, API runs, findings, test runs, and artifacts. It exposes health endpoints and REST routes for UI test generation and execution, security testing, agent actions, API-spec import and parsing, API execution, and workflows. The frontend includes project views and a dedicated API testing page. Language models are accessed through an OpenAI-compatible client with LM Studio and Groq configuration paths; the implementation also has an agent-specific client configuration.</w:t>
      </w:r>
    </w:p>
    <w:p>
      <w:r>
        <w:br w:type="page"/>
      </w:r>
    </w:p>
    <w:tbl>
      <w:tblPr>
        <w:tblStyle w:val="TableGrid"/>
        <w:tblW w:type="auto" w:w="0"/>
        <w:jc w:val="center"/>
        <w:tblLook w:firstColumn="1" w:firstRow="1" w:lastColumn="0" w:lastRow="0" w:noHBand="0" w:noVBand="1" w:val="04A0"/>
      </w:tblPr>
      <w:tblGrid>
        <w:gridCol w:w="3293"/>
        <w:gridCol w:w="3293"/>
        <w:gridCol w:w="3293"/>
      </w:tblGrid>
      <w:tr>
        <w:tc>
          <w:tcPr>
            <w:tcW w:type="dxa" w:w="158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b/>
                <w:i w:val="0"/>
                <w:color w:val="FFFFFF"/>
                <w:sz w:val="18"/>
              </w:rPr>
              <w:t>Layer</w:t>
            </w:r>
          </w:p>
        </w:tc>
        <w:tc>
          <w:tcPr>
            <w:tcW w:type="dxa" w:w="4176"/>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b/>
                <w:i w:val="0"/>
                <w:color w:val="FFFFFF"/>
                <w:sz w:val="18"/>
              </w:rPr>
              <w:t>Implemented responsibility</w:t>
            </w:r>
          </w:p>
        </w:tc>
        <w:tc>
          <w:tcPr>
            <w:tcW w:type="dxa" w:w="3168"/>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b/>
                <w:i w:val="0"/>
                <w:color w:val="FFFFFF"/>
                <w:sz w:val="18"/>
              </w:rPr>
              <w:t>Evidence boundary</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Frontend</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React pages invoke project, UI-test, and API-testing flows.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No usability study is included.</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Service API</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FastAPI routes coordinate generation, runs, imports, scans, and jobs.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Route availability is not a throughput claim.</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Context and generation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HTML elements form DOM context; a vector store indexes semantic element descriptions; LLMs return JSON artifacts.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No retrieval ablation or model comparison.</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Execution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Playwright scripts run in a subprocess; API cases execute through HTTP assertions and workflows.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No production workload measurement.</w:t>
            </w:r>
          </w:p>
        </w:tc>
      </w:tr>
      <w:t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Persistence and evidence</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MongoDB repositories retain projects, cases, runs, findings, and artifacts.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Retention policy and scale are unmeasured.</w:t>
            </w:r>
          </w:p>
        </w:tc>
      </w:tr>
    </w:tbl>
    <w:p>
      <w:pPr>
        <w:spacing w:after="60"/>
      </w:pPr>
    </w:p>
    <w:p>
      <w:pPr>
        <w:spacing w:after="140"/>
        <w:jc w:val="center"/>
      </w:pPr>
      <w:r>
        <w:rPr>
          <w:rFonts w:ascii="Times New Roman" w:hAnsi="Times New Roman"/>
          <w:b w:val="0"/>
          <w:i/>
          <w:color w:val="000000"/>
          <w:sz w:val="18"/>
        </w:rPr>
        <w:t>Table I. AQUA architecture and claim boundaries.</w:t>
      </w:r>
    </w:p>
    <w:p>
      <w:pPr>
        <w:keepNext/>
        <w:spacing w:before="260" w:after="100"/>
      </w:pPr>
      <w:r>
        <w:rPr>
          <w:rFonts w:ascii="Times New Roman" w:hAnsi="Times New Roman"/>
          <w:b/>
          <w:i w:val="0"/>
          <w:color w:val="000000"/>
          <w:sz w:val="24"/>
        </w:rPr>
        <w:t>A. UI Test Generation and Retrieval</w:t>
      </w:r>
    </w:p>
    <w:p>
      <w:pPr>
        <w:spacing w:after="120" w:line="269" w:lineRule="auto"/>
      </w:pPr>
      <w:r>
        <w:rPr>
          <w:rFonts w:ascii="Times New Roman" w:hAnsi="Times New Roman"/>
          <w:b w:val="0"/>
          <w:i w:val="0"/>
          <w:color w:val="000000"/>
          <w:sz w:val="22"/>
        </w:rPr>
        <w:t>For a supplied URL, the generation service fetches page HTML, extracts interactive elements, and builds a textual DOM context. Each element is represented with available text, role, placeholder, name, and identifier. The KnowledgeManager stores these descriptions in a Chroma-backed collection with URL metadata and deletes prior entries for the same URL before reinsertion. Retrieval performs similarity search with an exact URL filter, returning formatted element metadata for a step query. This scope restriction prevents elements from one target URL from being retrieved for another.</w:t>
      </w:r>
    </w:p>
    <w:p>
      <w:pPr>
        <w:spacing w:after="120" w:line="269" w:lineRule="auto"/>
      </w:pPr>
      <w:r>
        <w:rPr>
          <w:rFonts w:ascii="Times New Roman" w:hAnsi="Times New Roman"/>
          <w:b w:val="0"/>
          <w:i w:val="0"/>
          <w:color w:val="000000"/>
          <w:sz w:val="22"/>
        </w:rPr>
        <w:t>The generation prompt asks the configured LLM for JSON test cases. The service strips common Markdown fences, extracts array-shaped content, parses the response, normalizes each step as an instruction, assigns tags from category and priority, and persists the resulting cases. This robust parsing is a compatibility measure, not a guarantee that arbitrary model output will be correct.</w:t>
      </w:r>
    </w:p>
    <w:p>
      <w:pPr>
        <w:keepNext/>
        <w:spacing w:before="260" w:after="100"/>
      </w:pPr>
      <w:r>
        <w:rPr>
          <w:rFonts w:ascii="Times New Roman" w:hAnsi="Times New Roman"/>
          <w:b/>
          <w:i w:val="0"/>
          <w:color w:val="000000"/>
          <w:sz w:val="24"/>
        </w:rPr>
        <w:t>B. Agent Decision Step</w:t>
      </w:r>
    </w:p>
    <w:p>
      <w:pPr>
        <w:spacing w:after="120" w:line="269" w:lineRule="auto"/>
      </w:pPr>
      <w:r>
        <w:rPr>
          <w:rFonts w:ascii="Times New Roman" w:hAnsi="Times New Roman"/>
          <w:b w:val="0"/>
          <w:i w:val="0"/>
          <w:color w:val="000000"/>
          <w:sz w:val="22"/>
        </w:rPr>
        <w:t>The agent service is deliberately bounded. It summarizes stored project state and asks an agent model for a JSON action. On generate_tests, it invokes the UI generation service; do_nothing and finish produce no generation effect. If the model returns non-JSON content, the present implementation defaults to one generation action. The source code describes this as a one-shot decision step, so AQUA should not be characterized as a fully autonomous multi-agent planning system.</w:t>
      </w:r>
    </w:p>
    <w:p>
      <w:pPr>
        <w:keepNext/>
        <w:spacing w:before="260" w:after="100"/>
      </w:pPr>
      <w:r>
        <w:rPr>
          <w:rFonts w:ascii="Times New Roman" w:hAnsi="Times New Roman"/>
          <w:b/>
          <w:i w:val="0"/>
          <w:color w:val="000000"/>
          <w:sz w:val="24"/>
        </w:rPr>
        <w:t>C. Browser Execution and Verdicting</w:t>
      </w:r>
    </w:p>
    <w:p>
      <w:pPr>
        <w:spacing w:after="120" w:line="269" w:lineRule="auto"/>
      </w:pPr>
      <w:r>
        <w:rPr>
          <w:rFonts w:ascii="Times New Roman" w:hAnsi="Times New Roman"/>
          <w:b w:val="0"/>
          <w:i w:val="0"/>
          <w:color w:val="000000"/>
          <w:sz w:val="22"/>
        </w:rPr>
        <w:t>A stored UI case is retrieved by project and logical test identifier. AQUA first requests an LLM-generated Playwright script and falls back to a deterministic builder when generation raises an exception. It then runs the script and records artifacts. Exit code 2 or required-input metadata yields waiting status. Other outcomes use the actual runner result; when a post-run DOM snapshot exists, a strict validator model receives stripped DOM text, runner logs, expected result, and steps to classify passed or failed. The validator fails closed when its JSON verdict is malformed or uncertain.</w:t>
      </w:r>
    </w:p>
    <w:p>
      <w:pPr>
        <w:keepNext/>
        <w:spacing w:before="260" w:after="100"/>
      </w:pPr>
      <w:r>
        <w:rPr>
          <w:rFonts w:ascii="Times New Roman" w:hAnsi="Times New Roman"/>
          <w:b/>
          <w:i w:val="0"/>
          <w:color w:val="000000"/>
          <w:sz w:val="24"/>
        </w:rPr>
        <w:t>D. API and Security Paths</w:t>
      </w:r>
    </w:p>
    <w:p>
      <w:pPr>
        <w:spacing w:after="120" w:line="269" w:lineRule="auto"/>
      </w:pPr>
      <w:r>
        <w:rPr>
          <w:rFonts w:ascii="Times New Roman" w:hAnsi="Times New Roman"/>
          <w:b w:val="0"/>
          <w:i w:val="0"/>
          <w:color w:val="000000"/>
          <w:sz w:val="22"/>
        </w:rPr>
        <w:t>For API specifications, AQUA prompts for cases containing method, URL, headers, query, body, and assertions. After parsing, each candidate is validated against the normalized (method, path) set. Unknown operations cause an error rather than being silently executed. API workflows execute ordered steps, stop at the first failed result, and extract values from successful response bodies for later steps. The API executor supports status, JSON-field, content-type, and JSON-schema assertions and redacts fields such as tokens, client secrets, API keys, and cookies from retained evidence. A separate security-generation service derives structured security test cases from DOM context, while defensive checker and ZAP-related services are available in the backend architecture.</w:t>
      </w:r>
    </w:p>
    <w:p>
      <w:pPr>
        <w:keepNext/>
        <w:spacing w:before="260" w:after="100"/>
      </w:pPr>
      <w:r>
        <w:rPr>
          <w:rFonts w:ascii="Times New Roman" w:hAnsi="Times New Roman"/>
          <w:b/>
          <w:i w:val="0"/>
          <w:color w:val="000000"/>
          <w:sz w:val="24"/>
        </w:rPr>
        <w:t>V. METHODOLOGY AND DATA FLOW</w:t>
      </w:r>
    </w:p>
    <w:p>
      <w:pPr>
        <w:spacing w:after="120" w:line="269" w:lineRule="auto"/>
      </w:pPr>
      <w:r>
        <w:rPr>
          <w:rFonts w:ascii="Times New Roman" w:hAnsi="Times New Roman"/>
          <w:b w:val="0"/>
          <w:i w:val="0"/>
          <w:color w:val="000000"/>
          <w:sz w:val="22"/>
        </w:rPr>
        <w:t>The UI pipeline is: target URL -&gt; HTML fetch -&gt; interactive-element extraction -&gt; DOM-context construction and vector ingestion -&gt; JSON test generation -&gt; persistence -&gt; script generation or deterministic fallback -&gt; Playwright execution -&gt; optional DOM-snapshot verdict -&gt; stored status and artifacts. The API pipeline is: OpenAPI or Postman input -&gt; normalization -&gt; constrained case generation -&gt; assertion execution -&gt; redacted evidence -&gt; optional workflow variable propagation. These pipelines share persistence and LLM configuration but preserve their distinct validity constraints.</w:t>
      </w:r>
    </w:p>
    <w:tbl>
      <w:tblPr>
        <w:tblStyle w:val="TableGrid"/>
        <w:tblW w:type="auto" w:w="0"/>
        <w:jc w:val="center"/>
        <w:tblLook w:firstColumn="1" w:firstRow="1" w:lastColumn="0" w:lastRow="0" w:noHBand="0" w:noVBand="1" w:val="04A0"/>
      </w:tblPr>
      <w:tblGrid>
        <w:gridCol w:w="3293"/>
        <w:gridCol w:w="3293"/>
        <w:gridCol w:w="3293"/>
      </w:tblGrid>
      <w:tr>
        <w:tc>
          <w:tcPr>
            <w:tcW w:type="dxa" w:w="144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b/>
                <w:i w:val="0"/>
                <w:color w:val="FFFFFF"/>
                <w:sz w:val="18"/>
              </w:rPr>
              <w:t>Stage</w:t>
            </w:r>
          </w:p>
        </w:tc>
        <w:tc>
          <w:tcPr>
            <w:tcW w:type="dxa" w:w="374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b/>
                <w:i w:val="0"/>
                <w:color w:val="FFFFFF"/>
                <w:sz w:val="18"/>
              </w:rPr>
              <w:t>UI path</w:t>
            </w:r>
          </w:p>
        </w:tc>
        <w:tc>
          <w:tcPr>
            <w:tcW w:type="dxa" w:w="374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b/>
                <w:i w:val="0"/>
                <w:color w:val="FFFFFF"/>
                <w:sz w:val="18"/>
              </w:rPr>
              <w:t>API path</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Context</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Interactive DOM elements and URL-scoped retrieval</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Normalized OpenAPI operations or imported collection</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Generation</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JSON test cases with instruction steps</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JSON cases restricted to declared method-path pairs</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Validation</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Executable script, runner result, optional DOM verdict</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HTTP assertions and schema checks</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Evidence</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Run status, reason, artifact location, DOM hashes when available</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Redacted headers/body values and workflow results</w:t>
            </w:r>
          </w:p>
        </w:tc>
      </w:tr>
    </w:tbl>
    <w:p>
      <w:pPr>
        <w:spacing w:after="60"/>
      </w:pPr>
    </w:p>
    <w:p>
      <w:pPr>
        <w:spacing w:after="140"/>
        <w:jc w:val="center"/>
      </w:pPr>
      <w:r>
        <w:rPr>
          <w:rFonts w:ascii="Times New Roman" w:hAnsi="Times New Roman"/>
          <w:b w:val="0"/>
          <w:i/>
          <w:color w:val="000000"/>
          <w:sz w:val="18"/>
        </w:rPr>
        <w:t>Table II. Pipeline comparison.</w:t>
      </w:r>
    </w:p>
    <w:p>
      <w:pPr>
        <w:keepNext/>
        <w:spacing w:before="260" w:after="100"/>
      </w:pPr>
      <w:r>
        <w:rPr>
          <w:rFonts w:ascii="Times New Roman" w:hAnsi="Times New Roman"/>
          <w:b/>
          <w:i w:val="0"/>
          <w:color w:val="000000"/>
          <w:sz w:val="24"/>
        </w:rPr>
        <w:t>VI. IMPLEMENTATION EVIDENCE AND EVALUATION DESIGN</w:t>
      </w:r>
    </w:p>
    <w:p>
      <w:pPr>
        <w:spacing w:after="120" w:line="269" w:lineRule="auto"/>
      </w:pPr>
      <w:r>
        <w:rPr>
          <w:rFonts w:ascii="Times New Roman" w:hAnsi="Times New Roman"/>
          <w:b w:val="0"/>
          <w:i w:val="0"/>
          <w:color w:val="000000"/>
          <w:sz w:val="22"/>
        </w:rPr>
        <w:t>The repository contains unit and integration tests that provide implementation-level evidence. Examples include tests that accept a generated API case matching an imported operation and reject an unknown DELETE operation; tests that verify API assertion handling and redact token, clientSecret, api-key, and set-cookie evidence; tests that verify liveness, dependency readiness, authentication, and a fails-closed active-security-scan contract; and a workflow test for passing extracted values to dependent steps. These tests support claims about contracts and defensive behavior, not test quality in the field.</w:t>
      </w:r>
    </w:p>
    <w:p>
      <w:pPr>
        <w:spacing w:after="120" w:line="269" w:lineRule="auto"/>
      </w:pPr>
      <w:r>
        <w:rPr>
          <w:rFonts w:ascii="Times New Roman" w:hAnsi="Times New Roman"/>
          <w:b w:val="0"/>
          <w:i w:val="0"/>
          <w:color w:val="000000"/>
          <w:sz w:val="22"/>
        </w:rPr>
        <w:t>No dataset, benchmark suite, baseline system, aggregate coverage outcome, mutation score, fault-detection score, user study, or statistical analysis was located in the inspected implementation and test materials. Therefore, no numerical performance result is reported. A future evaluation should use a frozen corpus of public web applications and OpenAPI services, compare direct prompting, deterministic generation, and URL-scoped retrieval, and report valid-script rate, executable-pass rate, assertion correctness, coverage where measurable, mutation score, false-positive rate, cost, latency, and human usefulness. The design must control model version, temperature, prompt, network state, and target snapshot, and should include repeated trials and confidence intervals.</w:t>
      </w:r>
    </w:p>
    <w:p>
      <w:r>
        <w:br w:type="page"/>
      </w:r>
    </w:p>
    <w:tbl>
      <w:tblPr>
        <w:tblStyle w:val="TableGrid"/>
        <w:tblW w:type="auto" w:w="0"/>
        <w:jc w:val="center"/>
        <w:tblLook w:firstColumn="1" w:firstRow="1" w:lastColumn="0" w:lastRow="0" w:noHBand="0" w:noVBand="1" w:val="04A0"/>
      </w:tblPr>
      <w:tblGrid>
        <w:gridCol w:w="3293"/>
        <w:gridCol w:w="3293"/>
        <w:gridCol w:w="3293"/>
      </w:tblGrid>
      <w:tr>
        <w:tc>
          <w:tcPr>
            <w:tcW w:type="dxa" w:w="194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b/>
                <w:i w:val="0"/>
                <w:color w:val="FFFFFF"/>
                <w:sz w:val="18"/>
              </w:rPr>
              <w:t>Claim</w:t>
            </w:r>
          </w:p>
        </w:tc>
        <w:tc>
          <w:tcPr>
            <w:tcW w:type="dxa" w:w="4320"/>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b/>
                <w:i w:val="0"/>
                <w:color w:val="FFFFFF"/>
                <w:sz w:val="18"/>
              </w:rPr>
              <w:t>Repository-supported evidence</w:t>
            </w:r>
          </w:p>
        </w:tc>
        <w:tc>
          <w:tcPr>
            <w:tcW w:type="dxa" w:w="266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rFonts w:ascii="Times New Roman" w:hAnsi="Times New Roman"/>
                <w:b/>
                <w:i w:val="0"/>
                <w:color w:val="FFFFFF"/>
                <w:sz w:val="18"/>
              </w:rPr>
              <w:t>Not established</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API operation constraint</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Generated cases are checked against normalized declared operations; a negative unit test expects rejection.</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Real-world API coverage or defect discovery.</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Evidence redaction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Unit test verifies sensitive body and header values become [REDACTED].</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Completeness of secret detection across all payloads.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Execution states</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Run service handles success, failure, and waiting for inputs.</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before="40"/>
            </w:pPr>
            <w:r>
              <w:rPr>
                <w:rFonts w:ascii="Times New Roman" w:hAnsi="Times New Roman"/>
                <w:b w:val="0"/>
                <w:i w:val="0"/>
                <w:color w:val="000000"/>
                <w:sz w:val="18"/>
              </w:rPr>
              <w:t>Accuracy of LLM post-execution verdicts.</w:t>
            </w:r>
          </w:p>
        </w:tc>
      </w:tr>
      <w:t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Agent orchestration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A one-shot agent can select generation based on summarized state.</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spacing w:after="40" w:before="40"/>
            </w:pPr>
            <w:r>
              <w:rPr>
                <w:rFonts w:ascii="Times New Roman" w:hAnsi="Times New Roman"/>
                <w:b w:val="0"/>
                <w:i w:val="0"/>
                <w:color w:val="000000"/>
                <w:sz w:val="18"/>
              </w:rPr>
              <w:t>Long-horizon autonomy or planning quality.</w:t>
            </w:r>
          </w:p>
        </w:tc>
      </w:tr>
    </w:tbl>
    <w:p>
      <w:pPr>
        <w:spacing w:after="60"/>
      </w:pPr>
    </w:p>
    <w:p>
      <w:pPr>
        <w:spacing w:after="140"/>
        <w:jc w:val="center"/>
      </w:pPr>
      <w:r>
        <w:rPr>
          <w:rFonts w:ascii="Times New Roman" w:hAnsi="Times New Roman"/>
          <w:b w:val="0"/>
          <w:i/>
          <w:color w:val="000000"/>
          <w:sz w:val="18"/>
        </w:rPr>
        <w:t>Table III. Evidence inventory and excluded inferences.</w:t>
      </w:r>
    </w:p>
    <w:p>
      <w:pPr>
        <w:keepNext/>
        <w:spacing w:before="260" w:after="100"/>
      </w:pPr>
      <w:r>
        <w:rPr>
          <w:rFonts w:ascii="Times New Roman" w:hAnsi="Times New Roman"/>
          <w:b/>
          <w:i w:val="0"/>
          <w:color w:val="000000"/>
          <w:sz w:val="24"/>
        </w:rPr>
        <w:t>VII. RESULTS</w:t>
      </w:r>
    </w:p>
    <w:p>
      <w:pPr>
        <w:spacing w:after="120" w:line="269" w:lineRule="auto"/>
      </w:pPr>
      <w:r>
        <w:rPr>
          <w:rFonts w:ascii="Times New Roman" w:hAnsi="Times New Roman"/>
          <w:b w:val="0"/>
          <w:i w:val="0"/>
          <w:color w:val="000000"/>
          <w:sz w:val="22"/>
        </w:rPr>
        <w:t>The available result is a verified implementation artifact with automated contract tests, rather than an empirical comparison. The source supports four concrete observations. First, API generation has a structural guard against method-path hallucination. Second, API execution has tested redaction behavior for several sensitive names. Third, web test execution explicitly distinguishes waiting from failed and passed outcomes and has a deterministic script-generation fallback. Fourth, the service exposes dependency readiness information and authentication-protected API routes. These observations demonstrate that AQUA encodes several practical safeguards around generative testing.</w:t>
      </w:r>
    </w:p>
    <w:p>
      <w:pPr>
        <w:spacing w:after="120" w:line="269" w:lineRule="auto"/>
      </w:pPr>
      <w:r>
        <w:rPr>
          <w:rFonts w:ascii="Times New Roman" w:hAnsi="Times New Roman"/>
          <w:b w:val="0"/>
          <w:i w:val="0"/>
          <w:color w:val="000000"/>
          <w:sz w:val="22"/>
        </w:rPr>
        <w:t>They do not demonstrate that AQUA produces more tests, better tests, or more secure systems than alternative approaches. In particular, the repository supplies no aggregate count of generated cases, no target suite, no executed run log suitable for analysis, and no baseline. The appropriate conclusion is feasibility of the implemented pipeline and testable defensive properties, not comparative effectiveness.</w:t>
      </w:r>
    </w:p>
    <w:p>
      <w:pPr>
        <w:keepNext/>
        <w:spacing w:before="260" w:after="100"/>
      </w:pPr>
      <w:r>
        <w:rPr>
          <w:rFonts w:ascii="Times New Roman" w:hAnsi="Times New Roman"/>
          <w:b/>
          <w:i w:val="0"/>
          <w:color w:val="000000"/>
          <w:sz w:val="24"/>
        </w:rPr>
        <w:t>VIII. DISCUSSION</w:t>
      </w:r>
    </w:p>
    <w:p>
      <w:pPr>
        <w:spacing w:after="120" w:line="269" w:lineRule="auto"/>
      </w:pPr>
      <w:r>
        <w:rPr>
          <w:rFonts w:ascii="Times New Roman" w:hAnsi="Times New Roman"/>
          <w:b w:val="0"/>
          <w:i w:val="0"/>
          <w:color w:val="000000"/>
          <w:sz w:val="22"/>
        </w:rPr>
        <w:t>AQUA’s main engineering strength is its separation of generation from verification. DOM extraction and retrieval make target context available before browser-test scripting; API operation validation makes the permitted action space explicit; real execution provides a ground truth signal distinct from model prose; and evidence redaction reduces exposure when test results are retained. These design choices align with the broader concern in LLM testing research that valid-looking output is not sufficient evidence of useful tests [2]-[4].</w:t>
      </w:r>
    </w:p>
    <w:p>
      <w:pPr>
        <w:spacing w:after="120" w:line="269" w:lineRule="auto"/>
      </w:pPr>
      <w:r>
        <w:rPr>
          <w:rFonts w:ascii="Times New Roman" w:hAnsi="Times New Roman"/>
          <w:b w:val="0"/>
          <w:i w:val="0"/>
          <w:color w:val="000000"/>
          <w:sz w:val="22"/>
        </w:rPr>
        <w:t>The same design contains trade-offs. HTML context can become stale between extraction and execution. Vector similarity retrieval may return irrelevant elements, and the source does not expose a retrieval-quality metric. The LLM-based post-run validator operates over stripped and truncated DOM text and logs, so it may misclassify subtle visual states. The deterministic fallback improves availability but may produce scripts that are less adaptive than model-generated scripts. These are hypotheses for measurement, not measured shortcomings in the present repository.</w:t>
      </w:r>
    </w:p>
    <w:p>
      <w:pPr>
        <w:spacing w:after="120" w:line="269" w:lineRule="auto"/>
      </w:pPr>
      <w:r>
        <w:rPr>
          <w:rFonts w:ascii="Times New Roman" w:hAnsi="Times New Roman"/>
          <w:b w:val="0"/>
          <w:i w:val="0"/>
          <w:color w:val="000000"/>
          <w:sz w:val="22"/>
        </w:rPr>
        <w:t>For education-oriented deployment, the system could serve as a basis for explaining which checks were generated and what execution evidence supports a failure. However, its present codebase does not implement a learner model, grading rubric, pedagogical intervention, or study protocol. Its contribution to programming education is consequently prospective infrastructure rather than demonstrated instructional impact.</w:t>
      </w:r>
    </w:p>
    <w:p>
      <w:pPr>
        <w:keepNext/>
        <w:spacing w:before="260" w:after="100"/>
      </w:pPr>
      <w:r>
        <w:rPr>
          <w:rFonts w:ascii="Times New Roman" w:hAnsi="Times New Roman"/>
          <w:b/>
          <w:i w:val="0"/>
          <w:color w:val="000000"/>
          <w:sz w:val="24"/>
        </w:rPr>
        <w:t>IX. LIMITATIONS AND THREATS TO VALIDITY</w:t>
      </w:r>
    </w:p>
    <w:p>
      <w:pPr>
        <w:spacing w:after="120" w:line="269" w:lineRule="auto"/>
      </w:pPr>
      <w:r>
        <w:rPr>
          <w:rFonts w:ascii="Times New Roman" w:hAnsi="Times New Roman"/>
          <w:b w:val="0"/>
          <w:i w:val="0"/>
          <w:color w:val="000000"/>
          <w:sz w:val="22"/>
        </w:rPr>
        <w:t>This paper is constrained by the available artifact. The inspected tests use mocks for external services in several cases and do not establish behavior against diverse live applications. The implementation is primarily Python, JavaScript, and browser/API oriented; generalization to mobile, desktop, embedded, or compiled-language unit testing is untested. Outcomes depend on the configured LLM, prompt behavior, embedding model, target availability, browser environment, and MongoDB/Chroma configuration. The one-shot agent’s JSON fallback can cause generation even after malformed model output, which is an availability-oriented decision that deserves policy evaluation.</w:t>
      </w:r>
    </w:p>
    <w:p>
      <w:pPr>
        <w:spacing w:after="120" w:line="269" w:lineRule="auto"/>
      </w:pPr>
      <w:r>
        <w:rPr>
          <w:rFonts w:ascii="Times New Roman" w:hAnsi="Times New Roman"/>
          <w:b w:val="0"/>
          <w:i w:val="0"/>
          <w:color w:val="000000"/>
          <w:sz w:val="22"/>
        </w:rPr>
        <w:t>Construct validity is limited because pass/fail can incorporate an LLM verdict from DOM text rather than a fully specified oracle. Internal validity is limited by the lack of controlled baselines and repeated trials. External validity is limited by the absence of public benchmark targets and participant studies. Reproducibility requires versioned target snapshots, model identifiers, prompts, dependency versions, hardware/environment details, and artifact retention policies. These limitations delimit the paper’s claims and motivate the experimental design in Section VI.</w:t>
      </w:r>
    </w:p>
    <w:p>
      <w:pPr>
        <w:keepNext/>
        <w:spacing w:before="260" w:after="100"/>
      </w:pPr>
      <w:r>
        <w:rPr>
          <w:rFonts w:ascii="Times New Roman" w:hAnsi="Times New Roman"/>
          <w:b/>
          <w:i w:val="0"/>
          <w:color w:val="000000"/>
          <w:sz w:val="24"/>
        </w:rPr>
        <w:t>X. CONCLUSION AND FUTURE WORK</w:t>
      </w:r>
    </w:p>
    <w:p>
      <w:pPr>
        <w:spacing w:after="120" w:line="269" w:lineRule="auto"/>
      </w:pPr>
      <w:r>
        <w:rPr>
          <w:rFonts w:ascii="Times New Roman" w:hAnsi="Times New Roman"/>
          <w:b w:val="0"/>
          <w:i w:val="0"/>
          <w:color w:val="000000"/>
          <w:sz w:val="22"/>
        </w:rPr>
        <w:t>AQUA implements an auditable pipeline for context-grounded web and API test generation. It combines DOM extraction, URL-scoped retrieval, structured LLM output, API-operation constraints, Playwright execution, workflow support, run persistence, and redacted evidence. The repository’s automated tests substantiate selected contracts and safety-oriented behaviors. They do not substantiate superiority or effectiveness claims. Future work should add a reproducible benchmark, retrieval and model ablations, mutation and fault-detection measures, cost and latency analysis, calibration of the post-run validator, and human evaluation of generated feedback. This evidence-first trajectory would allow the system to be assessed as a research contribution beyond its current implementation feasibility.</w:t>
      </w:r>
    </w:p>
    <w:p>
      <w:pPr>
        <w:keepNext/>
        <w:spacing w:before="260" w:after="100"/>
      </w:pPr>
      <w:r>
        <w:rPr>
          <w:rFonts w:ascii="Times New Roman" w:hAnsi="Times New Roman"/>
          <w:b/>
          <w:i w:val="0"/>
          <w:color w:val="000000"/>
          <w:sz w:val="24"/>
        </w:rPr>
        <w:t>Data Availability Statement</w:t>
      </w:r>
    </w:p>
    <w:p>
      <w:pPr>
        <w:spacing w:after="120" w:line="269" w:lineRule="auto"/>
      </w:pPr>
      <w:r>
        <w:rPr>
          <w:rFonts w:ascii="Times New Roman" w:hAnsi="Times New Roman"/>
          <w:b w:val="0"/>
          <w:i w:val="0"/>
          <w:color w:val="000000"/>
          <w:sz w:val="22"/>
        </w:rPr>
        <w:t>The software artifact analyzed in this paper is the AQUA repository supplied for this study. No external experimental dataset or participant data was used in the reported implementation evidence.</w:t>
      </w:r>
    </w:p>
    <w:p>
      <w:pPr>
        <w:keepNext/>
        <w:spacing w:before="260" w:after="100"/>
      </w:pPr>
      <w:r>
        <w:rPr>
          <w:rFonts w:ascii="Times New Roman" w:hAnsi="Times New Roman"/>
          <w:b/>
          <w:i w:val="0"/>
          <w:color w:val="000000"/>
          <w:sz w:val="24"/>
        </w:rPr>
        <w:t>Ethics Declaration</w:t>
      </w:r>
    </w:p>
    <w:p>
      <w:pPr>
        <w:spacing w:after="120" w:line="269" w:lineRule="auto"/>
      </w:pPr>
      <w:r>
        <w:rPr>
          <w:rFonts w:ascii="Times New Roman" w:hAnsi="Times New Roman"/>
          <w:b w:val="0"/>
          <w:i w:val="0"/>
          <w:color w:val="000000"/>
          <w:sz w:val="22"/>
        </w:rPr>
        <w:t>This work reports software implementation and repository-based verification. It involved no human participants, personal datasets, or intervention study. Deployments that execute tests against third-party systems should require authorization and appropriate safeguards.</w:t>
      </w:r>
    </w:p>
    <w:p>
      <w:pPr>
        <w:keepNext/>
        <w:spacing w:before="260" w:after="100"/>
      </w:pPr>
      <w:r>
        <w:rPr>
          <w:rFonts w:ascii="Times New Roman" w:hAnsi="Times New Roman"/>
          <w:b/>
          <w:i w:val="0"/>
          <w:color w:val="000000"/>
          <w:sz w:val="24"/>
        </w:rPr>
        <w:t>Author Contributions</w:t>
      </w:r>
    </w:p>
    <w:p>
      <w:pPr>
        <w:spacing w:after="120" w:line="269" w:lineRule="auto"/>
      </w:pPr>
      <w:r>
        <w:rPr>
          <w:rFonts w:ascii="Times New Roman" w:hAnsi="Times New Roman"/>
          <w:b w:val="0"/>
          <w:i w:val="0"/>
          <w:color w:val="000000"/>
          <w:sz w:val="22"/>
        </w:rPr>
        <w:t>Conceptualization, system analysis, manuscript preparation, and technical writing: lead author. Software artifact: AQUA project contributors.</w:t>
      </w:r>
    </w:p>
    <w:p>
      <w:pPr>
        <w:keepNext/>
        <w:spacing w:before="260" w:after="100"/>
      </w:pPr>
      <w:r>
        <w:rPr>
          <w:rFonts w:ascii="Times New Roman" w:hAnsi="Times New Roman"/>
          <w:b/>
          <w:i w:val="0"/>
          <w:color w:val="000000"/>
          <w:sz w:val="24"/>
        </w:rPr>
        <w:t>Conflict of Interest Statement</w:t>
      </w:r>
    </w:p>
    <w:p>
      <w:pPr>
        <w:spacing w:after="120" w:line="269" w:lineRule="auto"/>
      </w:pPr>
      <w:r>
        <w:rPr>
          <w:rFonts w:ascii="Times New Roman" w:hAnsi="Times New Roman"/>
          <w:b w:val="0"/>
          <w:i w:val="0"/>
          <w:color w:val="000000"/>
          <w:sz w:val="22"/>
        </w:rPr>
        <w:t>The author declares no competing interests.</w:t>
      </w:r>
    </w:p>
    <w:p>
      <w:pPr>
        <w:keepNext/>
        <w:spacing w:before="260" w:after="100"/>
      </w:pPr>
      <w:r>
        <w:rPr>
          <w:rFonts w:ascii="Times New Roman" w:hAnsi="Times New Roman"/>
          <w:b/>
          <w:i w:val="0"/>
          <w:color w:val="000000"/>
          <w:sz w:val="24"/>
        </w:rPr>
        <w:t>Funding Acknowledgment</w:t>
      </w:r>
    </w:p>
    <w:p>
      <w:pPr>
        <w:spacing w:after="120" w:line="269" w:lineRule="auto"/>
      </w:pPr>
      <w:r>
        <w:rPr>
          <w:rFonts w:ascii="Times New Roman" w:hAnsi="Times New Roman"/>
          <w:b w:val="0"/>
          <w:i w:val="0"/>
          <w:color w:val="000000"/>
          <w:sz w:val="22"/>
        </w:rPr>
        <w:t>No external funding was declared for this manuscript.</w:t>
      </w:r>
    </w:p>
    <w:p>
      <w:pPr>
        <w:keepNext/>
        <w:spacing w:before="260" w:after="100"/>
      </w:pPr>
      <w:r>
        <w:rPr>
          <w:rFonts w:ascii="Times New Roman" w:hAnsi="Times New Roman"/>
          <w:b/>
          <w:i w:val="0"/>
          <w:color w:val="000000"/>
          <w:sz w:val="24"/>
        </w:rPr>
        <w:t>AI Use Disclosure</w:t>
      </w:r>
    </w:p>
    <w:p>
      <w:pPr>
        <w:spacing w:after="120" w:line="269" w:lineRule="auto"/>
      </w:pPr>
      <w:r>
        <w:rPr>
          <w:rFonts w:ascii="Times New Roman" w:hAnsi="Times New Roman"/>
          <w:b w:val="0"/>
          <w:i w:val="0"/>
          <w:color w:val="000000"/>
          <w:sz w:val="22"/>
        </w:rPr>
        <w:t>Generative AI was used as an editorial and drafting aid under author oversight. The technical claims in this manuscript were constrained to inspected implementation and test evidence, and the manuscript does not report generated experimental results as observed data.</w:t>
      </w:r>
    </w:p>
    <w:p>
      <w:pPr>
        <w:keepNext/>
        <w:spacing w:before="260" w:after="100"/>
      </w:pPr>
      <w:r>
        <w:rPr>
          <w:rFonts w:ascii="Times New Roman" w:hAnsi="Times New Roman"/>
          <w:b/>
          <w:i w:val="0"/>
          <w:color w:val="000000"/>
          <w:sz w:val="24"/>
        </w:rPr>
        <w:t>REFERENCES</w:t>
      </w:r>
    </w:p>
    <w:p>
      <w:pPr>
        <w:spacing w:after="80" w:line="252" w:lineRule="auto"/>
        <w:ind w:left="360" w:hanging="360"/>
      </w:pPr>
      <w:r>
        <w:rPr>
          <w:rFonts w:ascii="Times New Roman" w:hAnsi="Times New Roman"/>
          <w:b w:val="0"/>
          <w:i w:val="0"/>
          <w:color w:val="000000"/>
          <w:sz w:val="20"/>
        </w:rPr>
        <w:t>[1] A. Fontes et al., “The integration of machine learning into automated test generation: A systematic mapping study,” Software Testing, Verification and Reliability, vol. 33, no. 4, 2023, Art. no. e1845, doi: 10.1002/stvr.1845.</w:t>
      </w:r>
    </w:p>
    <w:p>
      <w:pPr>
        <w:spacing w:after="80" w:line="252" w:lineRule="auto"/>
        <w:ind w:left="360" w:hanging="360"/>
      </w:pPr>
      <w:r>
        <w:rPr>
          <w:rFonts w:ascii="Times New Roman" w:hAnsi="Times New Roman"/>
          <w:b w:val="0"/>
          <w:i w:val="0"/>
          <w:color w:val="000000"/>
          <w:sz w:val="20"/>
        </w:rPr>
        <w:t>[2] A. Moradi Dakhel, A. Nikanjam, V. Majdinasab, F. Khomh, and M. C. Desmarais, “Effective test generation using pre-trained large language models and mutation testing,” Information and Software Technology, vol. 171, 2024, Art. no. 107468, doi: 10.1016/j.infsof.2024.107468.</w:t>
      </w:r>
    </w:p>
    <w:p>
      <w:pPr>
        <w:spacing w:after="80" w:line="252" w:lineRule="auto"/>
        <w:ind w:left="360" w:hanging="360"/>
      </w:pPr>
      <w:r>
        <w:rPr>
          <w:rFonts w:ascii="Times New Roman" w:hAnsi="Times New Roman"/>
          <w:b w:val="0"/>
          <w:i w:val="0"/>
          <w:color w:val="000000"/>
          <w:sz w:val="20"/>
        </w:rPr>
        <w:t>[3] Y. Chen, Z. Hu, C. Zhi, J. Han, S. Deng, and J. Yin, “ChatUniTest: A framework for LLM-based test generation,” in Companion Proc. 32nd ACM Int. Conf. Foundations of Software Engineering, 2024, pp. 572-576, doi: 10.1145/3663529.3663801.</w:t>
      </w:r>
    </w:p>
    <w:p>
      <w:pPr>
        <w:spacing w:after="80" w:line="252" w:lineRule="auto"/>
        <w:ind w:left="360" w:hanging="360"/>
      </w:pPr>
      <w:r>
        <w:rPr>
          <w:rFonts w:ascii="Times New Roman" w:hAnsi="Times New Roman"/>
          <w:b w:val="0"/>
          <w:i w:val="0"/>
          <w:color w:val="000000"/>
          <w:sz w:val="20"/>
        </w:rPr>
        <w:t>[4] Y. Shang, Q. Zhang, C. Fang, S. Gu, J. Zhou, and Z. Chen, “A large-scale empirical study on fine-tuning large language models for unit testing,” Proc. ACM Softw. Eng., vol. 2, 2025, Art. no. ISSTA074, pp. 1678-1700, doi: 10.1145/3728951.</w:t>
      </w:r>
    </w:p>
    <w:p>
      <w:pPr>
        <w:spacing w:after="80" w:line="252" w:lineRule="auto"/>
        <w:ind w:left="360" w:hanging="360"/>
      </w:pPr>
      <w:r>
        <w:rPr>
          <w:rFonts w:ascii="Times New Roman" w:hAnsi="Times New Roman"/>
          <w:b w:val="0"/>
          <w:i w:val="0"/>
          <w:color w:val="000000"/>
          <w:sz w:val="20"/>
        </w:rPr>
        <w:t>[5] H. Keuning, J. T. Jeuring, and B. Heeren, “A systematic literature review of automated feedback generation for programming exercises,” ACM Trans. Comput. Educ., vol. 19, no. 1, Art. no. 3, 2018, doi: 10.1145/3231711.</w:t>
      </w:r>
    </w:p>
    <w:p>
      <w:pPr>
        <w:spacing w:after="80" w:line="252" w:lineRule="auto"/>
        <w:ind w:left="360" w:hanging="360"/>
      </w:pPr>
      <w:r>
        <w:rPr>
          <w:rFonts w:ascii="Times New Roman" w:hAnsi="Times New Roman"/>
          <w:b w:val="0"/>
          <w:i w:val="0"/>
          <w:color w:val="000000"/>
          <w:sz w:val="20"/>
        </w:rPr>
        <w:t>[6] P. Lewis et al., “Retrieval-augmented generation for knowledge-intensive NLP tasks,” in Advances in Neural Information Processing Systems 33, 2020.</w:t>
      </w:r>
    </w:p>
    <w:p>
      <w:pPr>
        <w:spacing w:after="80" w:line="252" w:lineRule="auto"/>
        <w:ind w:left="360" w:hanging="360"/>
      </w:pPr>
      <w:r>
        <w:rPr>
          <w:rFonts w:ascii="Times New Roman" w:hAnsi="Times New Roman"/>
          <w:b w:val="0"/>
          <w:i w:val="0"/>
          <w:color w:val="000000"/>
          <w:sz w:val="20"/>
        </w:rPr>
        <w:t>[7] Y. Qian, M. Liu, and L. Zhu, “Exploring the quality and effectiveness of AI-generated feedback in introductory programming,” Humanities and Social Sciences Communications, 2026, doi: 10.1057/s41599-026-07920-7.</w:t>
      </w:r>
    </w:p>
    <w:sectPr w:rsidR="00FC693F" w:rsidRPr="0006063C" w:rsidSect="00034616">
      <w:footerReference w:type="default" r:id="rId9"/>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18"/>
      </w:rPr>
      <w:t>AQUA technical journal manuscript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Context Grounded Agentic System for Web and API Test Generation and Execution</dc:title>
  <dc:subject>Technical journal manuscript</dc:subject>
  <dc:creator>AQUA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