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AQUA Journal Paper Package</w:t>
      </w:r>
    </w:p>
    <w:p>
      <w:pPr>
        <w:jc w:val="center"/>
      </w:pPr>
      <w:r>
        <w:rPr>
          <w:i/>
        </w:rPr>
        <w:t>Evidence bounded manuscript draft and supporting audits</w:t>
      </w:r>
    </w:p>
    <w:p>
      <w:r>
        <w:t>This document consolidates the current manuscript, project and experiment audit, targeted literature review, citation audit, and IEEE style pre submission review. It is a research package, not a submission ready article: required experiments and venue specific fields remain explicitly marked.</w:t>
      </w:r>
    </w:p>
    <w:p>
      <w:r>
        <w:t>Prepared from the audited AQUA repository on 24 September 2026.</w:t>
      </w:r>
    </w:p>
    <w:p>
      <w:r>
        <w:br w:type="page"/>
      </w:r>
    </w:p>
    <w:p>
      <w:pPr>
        <w:pStyle w:val="Heading1"/>
      </w:pPr>
      <w:r>
        <w:t>Manuscript Draft</w:t>
      </w:r>
    </w:p>
    <w:p>
      <w:pPr>
        <w:pStyle w:val="Heading1"/>
        <w:spacing w:before="240" w:after="120"/>
      </w:pPr>
      <w:r>
        <w:t>AQUA: Schema-Constrained LLM-Assisted API Test Generation With Deterministic Execution and Evidence Management</w:t>
      </w:r>
    </w:p>
    <w:p>
      <w:r>
        <w:rPr>
          <w:b/>
        </w:rPr>
        <w:t>Anonymous manuscript draft — target IEEE journal to be selected</w:t>
      </w:r>
    </w:p>
    <w:p>
      <w:pPr>
        <w:pStyle w:val="Heading2"/>
        <w:spacing w:before="240" w:after="120"/>
      </w:pPr>
      <w:r>
        <w:t>Abstract</w:t>
      </w:r>
    </w:p>
    <w:p>
      <w:pPr>
        <w:spacing w:after="120" w:line="269" w:lineRule="auto"/>
      </w:pPr>
      <w:r>
        <w:t>Automated testing of REST APIs must manage heterogeneous request schemas, authentication, state dependencies, and test oracles. Large language models (LLMs) can propose test cases from API descriptions, but unconstrained output is insufficient for dependable execution: a generated case may refer to an unavailable operation, contain invalid input, or use an unsupported assertion. This paper presents AQUA, an LLM-assisted API-testing platform that imports OpenAPI or Postman-derived descriptions, normalizes operations, constrains generated cases to imported method/path pairs, and executes accepted cases through a deterministic HTTP runner. AQUA further supports request assertions, response-value extraction for dependent workflows, redacted run evidence, and passive API-security findings. The platform also contains a separate DOM/RAG-assisted UI-testing path; this paper treats that path as ancillary because it has not yet been evaluated together with the API workflow. The implementation and regression tests establish the availability of the described system components. However, no benchmark evaluation has yet measured generated-case validity, executable-test yield, coverage, defect detection, security-finding precision, runtime, or cost. Accordingly, this draft specifies a reproducible evaluation protocol rather than reporting invented effectiveness results. The planned evaluation compares AQUA against specification-driven baselines on reproducible OpenAPI-described systems and measures generation validity, execution outcomes, workflow completion, coverage, seeded-finding detection, and cost.</w:t>
      </w:r>
    </w:p>
    <w:p>
      <w:pPr>
        <w:spacing w:after="120" w:line="269" w:lineRule="auto"/>
      </w:pPr>
      <w:r>
        <w:t>Index Terms— REST API testing, test-case generation, large language models, OpenAPI, workflow testing, software quality assurance.</w:t>
      </w:r>
    </w:p>
    <w:p>
      <w:pPr>
        <w:pStyle w:val="Heading2"/>
        <w:spacing w:before="240" w:after="120"/>
      </w:pPr>
      <w:r>
        <w:t>I. Introduction</w:t>
      </w:r>
    </w:p>
    <w:p>
      <w:pPr>
        <w:spacing w:after="120" w:line="269" w:lineRule="auto"/>
      </w:pPr>
      <w:r>
        <w:t>REST APIs are a central integration boundary in modern software systems. Their test spaces include operation choices, parameter and payload values, authentication contexts, response assertions, and request dependencies. Specification-driven and search-based tools demonstrate that OpenAPI descriptions and state-aware exploration can support automated API testing [1]–[3]. LLMs add a complementary capability: they can transform natural-language and specification context into candidate tests. Nevertheless, generated text is not evidence that a test is executable or useful. APITestGenie, for example, reports that executable-script validity improves with repeated generation attempts and recommends human validation before CI/CD integration [4].</w:t>
      </w:r>
    </w:p>
    <w:p>
      <w:pPr>
        <w:spacing w:after="120" w:line="269" w:lineRule="auto"/>
      </w:pPr>
      <w:r>
        <w:t>Recent agentic API-testing work explores richer dependency reasoning and multi-agent test amplification [5], [6]. These approaches use explicit dependency modeling or multiple specialized roles and evaluate coverage, defects, and resource trade-offs. AQUA does not implement such a multi-agent architecture. Its repository contains a single LLM decision endpoint for UI-test generation, while its nominal analyzer, planner, executor, and observer modules are empty. The contribution examined in this paper is therefore narrower: an auditable integration workflow for LLM-assisted API-case generation and deterministic execution.</w:t>
      </w:r>
    </w:p>
    <w:p>
      <w:pPr>
        <w:spacing w:after="120" w:line="269" w:lineRule="auto"/>
      </w:pPr>
      <w:r>
        <w:t>The research problem is how to connect LLM-generated API-test candidates to a controlled execution pipeline without treating unconstrained model output as a trustworthy test artifact. AQUA addresses this problem by normalizing imported operations, rejecting generated method/path pairs outside that catalog, executing accepted cases with deterministic request construction and assertions, recording redacted evidence, and supporting dependent workflows. Passive security analysis is exposed alongside execution results. This design is motivated by the need to make individual generation and execution outcomes inspectable, not by a claim that the system is more effective than existing tools.</w:t>
      </w:r>
    </w:p>
    <w:p>
      <w:pPr>
        <w:spacing w:after="120" w:line="269" w:lineRule="auto"/>
      </w:pPr>
      <w:r>
        <w:t>This draft makes the following implementation contributions:</w:t>
      </w:r>
    </w:p>
    <w:p>
      <w:pPr>
        <w:spacing w:after="120" w:line="269" w:lineRule="auto"/>
      </w:pPr>
      <w:r>
        <w:t>1. An OpenAPI/Postman ingestion workflow that produces a normalized catalog of operations, parameters, request and response schemas, base URLs, and declared authentication schemes.</w:t>
      </w:r>
    </w:p>
    <w:p>
      <w:pPr>
        <w:spacing w:after="120" w:line="269" w:lineRule="auto"/>
      </w:pPr>
      <w:r>
        <w:t>2. An LLM-assisted API-case generator with structural validation that restricts accepted cases to operations present in the imported catalog.</w:t>
      </w:r>
    </w:p>
    <w:p>
      <w:pPr>
        <w:spacing w:after="120" w:line="269" w:lineRule="auto"/>
      </w:pPr>
      <w:r>
        <w:t>3. A deterministic execution and evidence layer with request assertions, variable substitution, dependent request workflows, redaction, persisted run history, and passive security findings.</w:t>
      </w:r>
    </w:p>
    <w:p>
      <w:pPr>
        <w:spacing w:after="120" w:line="269" w:lineRule="auto"/>
      </w:pPr>
      <w:r>
        <w:t>4. A claim-centered evaluation protocol that separates implementation validation from effectiveness claims and defines the experiments needed for comparison with established API-testing approaches.</w:t>
      </w:r>
    </w:p>
    <w:p>
      <w:pPr>
        <w:spacing w:after="120" w:line="269" w:lineRule="auto"/>
      </w:pPr>
      <w:r>
        <w:t>The first three items are supported by repository inspection and regression tests. Any claim of increased coverage, fault detection, validity, security precision, or practical efficiency requires the experiments defined in Section VI.</w:t>
      </w:r>
    </w:p>
    <w:p>
      <w:pPr>
        <w:pStyle w:val="Heading2"/>
        <w:spacing w:before="240" w:after="120"/>
      </w:pPr>
      <w:r>
        <w:t>II. Related Work</w:t>
      </w:r>
    </w:p>
    <w:p>
      <w:pPr>
        <w:pStyle w:val="Heading3"/>
        <w:spacing w:before="240" w:after="120"/>
      </w:pPr>
      <w:r>
        <w:t>A. Specification-Driven and Search-Based API Testing</w:t>
      </w:r>
    </w:p>
    <w:p>
      <w:pPr>
        <w:spacing w:after="120" w:line="269" w:lineRule="auto"/>
      </w:pPr>
      <w:r>
        <w:t>RESTler introduced stateful REST API fuzzing and demonstrated the value of using API specifications to build dependency-aware request sequences [1]. QuickREST generates property-based tests and validation material from OpenAPI documents, highlighting that specifications can serve both generation and oracle roles [2]. EvoMaster provides a search-based system-testing tool for REST, GraphQL, and RPC APIs and has developed an established experimental ecosystem for assessing generated tests [3]. These approaches establish relevant baselines for AQUA: an API-testing evaluation must distinguish syntactic or structural validity from executability, coverage, and fault detection.</w:t>
      </w:r>
    </w:p>
    <w:p>
      <w:pPr>
        <w:pStyle w:val="Heading3"/>
        <w:spacing w:before="240" w:after="120"/>
      </w:pPr>
      <w:r>
        <w:t>B. LLM-Assisted and Agentic API Testing</w:t>
      </w:r>
    </w:p>
    <w:p>
      <w:pPr>
        <w:spacing w:after="120" w:line="269" w:lineRule="auto"/>
      </w:pPr>
      <w:r>
        <w:t>APITestGenie generates API test scripts from requirements and API specifications. Its experiments on ten APIs report valid-script rates of 57% for one generation attempt and 80% with three attempts, while retaining a human validation role [4]. AutoRestTest combines an operation-dependency graph, multi-agent reinforcement learning, and LLM-based specialized agents to produce operation sequences and values [5]. Besjes *et al.* compare single- and multi-agent test-amplification configurations across heterogeneous cloud APIs, including execution, coverage, cost, runtime, and energy considerations [6].</w:t>
      </w:r>
    </w:p>
    <w:p>
      <w:pPr>
        <w:spacing w:after="120" w:line="269" w:lineRule="auto"/>
      </w:pPr>
      <w:r>
        <w:t>These works show that LLM output should be assessed through actual execution and that agentic claims require role-specific implementation and cost-aware evaluation. AQUA is not positioned as a multi-agent alternative to [5] or [6]. Its distinguishing system boundary is the controlled handoff from imported operation descriptions to constrained candidate generation and deterministic execution.</w:t>
      </w:r>
    </w:p>
    <w:p>
      <w:pPr>
        <w:pStyle w:val="Heading3"/>
        <w:spacing w:before="240" w:after="120"/>
      </w:pPr>
      <w:r>
        <w:t>C. Testing Agentic Systems</w:t>
      </w:r>
    </w:p>
    <w:p>
      <w:pPr>
        <w:spacing w:after="120" w:line="269" w:lineRule="auto"/>
      </w:pPr>
      <w:r>
        <w:t>Hasan *et al.* study testing practices in agent frameworks and applications and report that deterministic resource and coordination components receive much of the observed testing effort, while prompts receive comparatively little direct testing [7]. This observation motivates AQUA’s separation of model output from deterministic validation, execution, and evidence persistence. It does not establish that AQUA’s validation pipeline improves outcomes; that question remains experimental.</w:t>
      </w:r>
    </w:p>
    <w:p>
      <w:pPr>
        <w:pStyle w:val="Heading2"/>
        <w:spacing w:before="240" w:after="120"/>
      </w:pPr>
      <w:r>
        <w:t>III. System Scope and Design Goals</w:t>
      </w:r>
    </w:p>
    <w:p>
      <w:pPr>
        <w:pStyle w:val="Heading3"/>
        <w:spacing w:before="240" w:after="120"/>
      </w:pPr>
      <w:r>
        <w:t>A. Scope</w:t>
      </w:r>
    </w:p>
    <w:p>
      <w:pPr>
        <w:spacing w:after="120" w:line="269" w:lineRule="auto"/>
      </w:pPr>
      <w:r>
        <w:t>AQUA is implemented as a React/Vite frontend and a FastAPI backend with MongoDB persistence. The paper focuses on the API-testing workflow. The repository also includes UI-test generation, DOM extraction, Chroma-backed retrieval, and Playwright execution. Those components are outside the central experimental scope because no integrated evaluation connects them to the API workflow.</w:t>
      </w:r>
    </w:p>
    <w:p>
      <w:pPr>
        <w:spacing w:after="120" w:line="269" w:lineRule="auto"/>
      </w:pPr>
      <w:r>
        <w:t>The system is not an automated programming-assessment or Digital TA platform. It does not execute student submissions, grade assignments, generate educational feedback, or use Piston/Supabase. Such capabilities must not be added to the title, abstract, contributions, or evaluation without a separate implementation and study.</w:t>
      </w:r>
    </w:p>
    <w:p>
      <w:pPr>
        <w:pStyle w:val="Heading3"/>
        <w:spacing w:before="240" w:after="120"/>
      </w:pPr>
      <w:r>
        <w:t>B. Design Goals</w:t>
      </w:r>
    </w:p>
    <w:p>
      <w:pPr>
        <w:spacing w:after="120" w:line="269" w:lineRule="auto"/>
      </w:pPr>
      <w:r>
        <w:t>The API workflow has four design goals. First, it should preserve an inspectable connection between a test case and the imported API operation catalog. Second, it should execute cases through a deterministic mechanism rather than model-generated request code. Third, it should support practical stateful scenarios through variable extraction and substitution. Fourth, it should persist redacted evidence and security findings so that outcomes can be reviewed rather than treated as opaque LLM decisions.</w:t>
      </w:r>
    </w:p>
    <w:p>
      <w:pPr>
        <w:pStyle w:val="Heading2"/>
        <w:spacing w:before="240" w:after="120"/>
      </w:pPr>
      <w:r>
        <w:t>IV. AQUA API-Testing Workflow</w:t>
      </w:r>
    </w:p>
    <w:p>
      <w:pPr>
        <w:pStyle w:val="Heading3"/>
        <w:spacing w:before="240" w:after="120"/>
      </w:pPr>
      <w:r>
        <w:t>A. Specification Ingestion and Normalization</w:t>
      </w:r>
    </w:p>
    <w:p>
      <w:pPr>
        <w:spacing w:after="120" w:line="269" w:lineRule="auto"/>
      </w:pPr>
      <w:r>
        <w:t>An OpenAPI document is parsed into an ApiSpec containing its title, version, base URLs, and normalized ApiOperation objects. Each operation records its HTTP method, path, summary, tags, parameters, request schema, response schema, and declared authentication schemes. Postman import is also implemented. This normalized representation is the source of truth for downstream generation and execution.</w:t>
      </w:r>
    </w:p>
    <w:p>
      <w:pPr>
        <w:pStyle w:val="Heading3"/>
        <w:spacing w:before="240" w:after="120"/>
      </w:pPr>
      <w:r>
        <w:t>B. Constrained LLM Case Generation</w:t>
      </w:r>
    </w:p>
    <w:p>
      <w:pPr>
        <w:spacing w:after="120" w:line="269" w:lineRule="auto"/>
      </w:pPr>
      <w:r>
        <w:t>For a requested case count, AQUA serializes normalized operations and asks the configured LLM for JSON cases containing a name, method, URL, headers, query values, body, and assertions. Parsed objects are validated against the API-case schema. AQUA then compares each case’s method and path with the imported-operation set and rejects mismatches. This guard establishes structural conformance to the operation catalog; it does not establish that values, semantics, or assertions are correct.</w:t>
      </w:r>
    </w:p>
    <w:p>
      <w:pPr>
        <w:pStyle w:val="Heading3"/>
        <w:spacing w:before="240" w:after="120"/>
      </w:pPr>
      <w:r>
        <w:t>C. Deterministic Execution and Assertions</w:t>
      </w:r>
    </w:p>
    <w:p>
      <w:pPr>
        <w:spacing w:after="120" w:line="269" w:lineRule="auto"/>
      </w:pPr>
      <w:r>
        <w:t>The API executor substitutes declared variables into the URL, headers, query, and body; adds configured bearer or basic credentials; validates the target URL; and sends the request with httpx. It records status, response headers and body, elapsed time, and assertion outcomes. Implemented assertion kinds cover status, headers, JSON fields, content type, response time, and JSON-schema conformance. Authentication tokens and sensitive evidence fields are redacted before persistence.</w:t>
      </w:r>
    </w:p>
    <w:p>
      <w:pPr>
        <w:pStyle w:val="Heading3"/>
        <w:spacing w:before="240" w:after="120"/>
      </w:pPr>
      <w:r>
        <w:t>D. Dependent Workflows and Passive Security Findings</w:t>
      </w:r>
    </w:p>
    <w:p>
      <w:pPr>
        <w:spacing w:after="120" w:line="269" w:lineRule="auto"/>
      </w:pPr>
      <w:r>
        <w:t>API workflow execution can extract response values and pass them to dependent requests. This mechanism is needed for common patterns such as login followed by authenticated state changes. Separately, passive API-security checks inspect declared authentication, static authorization heuristics, CORS/rate-limit headers, server-error responses, documented-schema mismatches, and sensitive-looking response fields. Active probes are explicitly disabled until an isolated-worker policy is implemented.</w:t>
      </w:r>
    </w:p>
    <w:p>
      <w:pPr>
        <w:pStyle w:val="Heading3"/>
        <w:spacing w:before="240" w:after="120"/>
      </w:pPr>
      <w:r>
        <w:t>E. Ancillary UI-Testing Path</w:t>
      </w:r>
    </w:p>
    <w:p>
      <w:pPr>
        <w:spacing w:after="120" w:line="269" w:lineRule="auto"/>
      </w:pPr>
      <w:r>
        <w:t>For UI tests, AQUA extracts interactive DOM elements, ingests textual element representations into Chroma, retrieves relevant elements for a test step, and uses that context when requesting a Playwright script. A deterministic fallback exists for supported structured steps. This path is a separate subsystem. It must not be cited as evidence for the API workflow until evaluated under its own protocol.</w:t>
      </w:r>
    </w:p>
    <w:p>
      <w:pPr>
        <w:pStyle w:val="Heading2"/>
        <w:spacing w:before="240" w:after="120"/>
      </w:pPr>
      <w:r>
        <w:t>V. Research Questions and Methodology</w:t>
      </w:r>
    </w:p>
    <w:p>
      <w:pPr>
        <w:spacing w:after="120" w:line="269" w:lineRule="auto"/>
      </w:pPr>
      <w:r>
        <w:t>The following research questions are proposed for the completed empirical study.</w:t>
      </w:r>
    </w:p>
    <w:p>
      <w:pPr>
        <w:pStyle w:val="ListBullet"/>
      </w:pPr>
      <w:r>
        <w:t>**RQ1 (generation validity):** What proportion of AQUA-generated API cases are structurally valid and executable on a fixed corpus of OpenAPI-described APIs?</w:t>
      </w:r>
    </w:p>
    <w:p>
      <w:pPr>
        <w:pStyle w:val="ListBullet"/>
      </w:pPr>
      <w:r>
        <w:t>**RQ2 (testing effectiveness):** How do AQUA-generated cases compare with a deterministic OpenAPI-template baseline and a selected established API-testing baseline in operation coverage, parameter coverage where measurable, and seeded-fault detection?</w:t>
      </w:r>
    </w:p>
    <w:p>
      <w:pPr>
        <w:pStyle w:val="ListBullet"/>
      </w:pPr>
      <w:r>
        <w:t>**RQ3 (stateful workflows):** How reliably does AQUA complete predefined dependent workflows requiring extraction, variable substitution, and authentication?</w:t>
      </w:r>
    </w:p>
    <w:p>
      <w:pPr>
        <w:pStyle w:val="ListBullet"/>
      </w:pPr>
      <w:r>
        <w:t>**RQ4 (passive security findings):** What are the precision and recall of AQUA’s passive security findings against a manually labeled ground truth of seeded conditions?</w:t>
      </w:r>
    </w:p>
    <w:p>
      <w:pPr>
        <w:pStyle w:val="ListBullet"/>
      </w:pPr>
      <w:r>
        <w:t>**RQ5 (cost and reproducibility):** What latency, token/cost, and resource profiles result from fixed model settings and repeated seeds?</w:t>
      </w:r>
    </w:p>
    <w:p>
      <w:pPr>
        <w:spacing w:after="120" w:line="269" w:lineRule="auto"/>
      </w:pPr>
      <w:r>
        <w:t>The research artifact must include versioned API specifications, application images or commits, reset scripts, prompts, model identifiers, temperature and token limits, generation counts, random seeds where supported, execution logs with secrets redacted, and per-run outputs. The study should use the included local test target plus at least two independently maintained, reproducible APIs. A deterministic OpenAPI-template generator is a mandatory sanity baseline. A traditional tool such as RESTler, QuickREST, or EvoMaster should be included only where its assumptions and execution environment support a fair comparison; exclusions must be disclosed symmetrically.</w:t>
      </w:r>
    </w:p>
    <w:p>
      <w:pPr>
        <w:pStyle w:val="Heading2"/>
        <w:spacing w:before="240" w:after="120"/>
      </w:pPr>
      <w:r>
        <w:t>VI. Experimental Setup and Results</w:t>
      </w:r>
    </w:p>
    <w:p>
      <w:pPr>
        <w:pStyle w:val="Heading3"/>
        <w:spacing w:before="240" w:after="120"/>
      </w:pPr>
      <w:r>
        <w:t>A. Experimental Setup</w:t>
      </w:r>
    </w:p>
    <w:p>
      <w:pPr>
        <w:spacing w:after="120" w:line="269" w:lineRule="auto"/>
      </w:pPr>
      <w:r>
        <w:t>[EXPERIMENT REQUIRED] Freeze the system-under-test corpus, OpenAPI specifications, application versions, API reset procedure, hardware, operating system, Python/Node versions, MongoDB version, and LLM provider/model identifiers. Define identical request and time budgets for every method. Predefine the number of repetitions and report mean, dispersion, and raw per-run outcomes where model nondeterminism is relevant.</w:t>
      </w:r>
    </w:p>
    <w:p>
      <w:pPr>
        <w:spacing w:after="120" w:line="269" w:lineRule="auto"/>
      </w:pPr>
      <w:r>
        <w:t>[EXPERIMENT REQUIRED] Measure: (i) schema/operation-valid generation rate, (ii) executable-test rate, (iii) assertion-pass and failure taxonomy, (iv) operation and parameter coverage, (v) workflow completion rate, (vi) unique seeded defects or labeled security conditions detected, (vii) security precision and recall, and (viii) latency and model-resource use.</w:t>
      </w:r>
    </w:p>
    <w:p>
      <w:pPr>
        <w:spacing w:after="120" w:line="269" w:lineRule="auto"/>
      </w:pPr>
      <w:r>
        <w:t>[EXPERIMENT REQUIRED] Add ablations that remove operation-membership validation and dependent-workflow extraction. These ablations test concrete mechanisms actually implemented by AQUA. Do not add a RAG ablation unless the UI-testing path is included in a separate experiment.</w:t>
      </w:r>
    </w:p>
    <w:p>
      <w:pPr>
        <w:pStyle w:val="Heading3"/>
        <w:spacing w:before="240" w:after="120"/>
      </w:pPr>
      <w:r>
        <w:t>B. Results</w:t>
      </w:r>
    </w:p>
    <w:p>
      <w:pPr>
        <w:spacing w:after="120" w:line="269" w:lineRule="auto"/>
      </w:pPr>
      <w:r>
        <w:t>No empirical runs, benchmark corpus, or baseline comparisons are stored in the repository. Therefore, no numerical results are reported in this draft.</w:t>
      </w:r>
    </w:p>
    <w:p>
      <w:pPr>
        <w:spacing w:after="120" w:line="269" w:lineRule="auto"/>
      </w:pPr>
      <w:r>
        <w:t>[EXPERIMENT REQUIRED — Table I] Per-system generation validity, executable-test yield, operation/parameter coverage, and fault-detection results for AQUA and each baseline.</w:t>
      </w:r>
    </w:p>
    <w:p>
      <w:pPr>
        <w:spacing w:after="120" w:line="269" w:lineRule="auto"/>
      </w:pPr>
      <w:r>
        <w:t>[EXPERIMENT REQUIRED — Table II] Dependent-workflow completion results, including authentication and extraction failures.</w:t>
      </w:r>
    </w:p>
    <w:p>
      <w:pPr>
        <w:spacing w:after="120" w:line="269" w:lineRule="auto"/>
      </w:pPr>
      <w:r>
        <w:t>[EXPERIMENT REQUIRED — Table III] Passive-security finding confusion matrices and category-level precision/recall against the ground-truth ledger.</w:t>
      </w:r>
    </w:p>
    <w:p>
      <w:pPr>
        <w:spacing w:after="120" w:line="269" w:lineRule="auto"/>
      </w:pPr>
      <w:r>
        <w:t>[EXPERIMENT REQUIRED — Figure 1] System architecture and controlled data flow: import → normalized operation catalog → LLM case generation → structural validation → deterministic execution/assertions → redacted evidence and findings.</w:t>
      </w:r>
    </w:p>
    <w:p>
      <w:pPr>
        <w:spacing w:after="120" w:line="269" w:lineRule="auto"/>
      </w:pPr>
      <w:r>
        <w:t>[EXPERIMENT REQUIRED — Figure 2] Effectiveness/cost trade-off across methods after experimental data are available.</w:t>
      </w:r>
    </w:p>
    <w:p>
      <w:pPr>
        <w:pStyle w:val="Heading2"/>
        <w:spacing w:before="240" w:after="120"/>
      </w:pPr>
      <w:r>
        <w:t>VII. Discussion</w:t>
      </w:r>
    </w:p>
    <w:p>
      <w:pPr>
        <w:spacing w:after="120" w:line="269" w:lineRule="auto"/>
      </w:pPr>
      <w:r>
        <w:t>The implemented design reduces one specific risk of unconstrained LLM output: a case whose method/path does not belong to the imported API catalog is rejected before execution. This is a structural guard, not a semantic guarantee. A case can still contain unsuitable values, invalid authentication, unrealistic state transitions, or weak assertions. Deterministic execution makes such outcomes observable and attributable to a concrete request and assertion result, but it does not by itself demonstrate a higher test yield than existing tools.</w:t>
      </w:r>
    </w:p>
    <w:p>
      <w:pPr>
        <w:spacing w:after="120" w:line="269" w:lineRule="auto"/>
      </w:pPr>
      <w:r>
        <w:t>The planned comparison must not conflate the platform’s integration features with LLM superiority. Stronger evidence would show when operation constraints increase valid/executable cases, whether dependent workflows improve stateful coverage, and how these benefits trade off against latency and model cost. The passive-security module similarly requires a labeled ground truth: surfacing a warning is not evidence that the warning is correct or useful.</w:t>
      </w:r>
    </w:p>
    <w:p>
      <w:pPr>
        <w:pStyle w:val="Heading2"/>
        <w:spacing w:before="240" w:after="120"/>
      </w:pPr>
      <w:r>
        <w:t>VIII. Threats to Validity and Limitations</w:t>
      </w:r>
    </w:p>
    <w:p>
      <w:pPr>
        <w:spacing w:after="120" w:line="269" w:lineRule="auto"/>
      </w:pPr>
      <w:r>
        <w:t>Construct validity. Structural operation validation is not equivalent to semantic test correctness. Coverage and fault-detection metrics must be defined before runs and computed consistently across methods.</w:t>
      </w:r>
    </w:p>
    <w:p>
      <w:pPr>
        <w:spacing w:after="120" w:line="269" w:lineRule="auto"/>
      </w:pPr>
      <w:r>
        <w:t>Internal validity. LLM outputs can vary with model version, provider behavior, prompt details, and nondeterministic sampling. The experiment must preserve prompts and model settings, repeat runs, and distinguish generator failures from target-application failures.</w:t>
      </w:r>
    </w:p>
    <w:p>
      <w:pPr>
        <w:spacing w:after="120" w:line="269" w:lineRule="auto"/>
      </w:pPr>
      <w:r>
        <w:t>External validity. The included local social-media target intentionally contains safe, seeded signals and cannot represent production APIs. At least two independent systems, preferably containerized and resettable, are required. Results must not be generalized beyond the evaluated API types and configurations.</w:t>
      </w:r>
    </w:p>
    <w:p>
      <w:pPr>
        <w:spacing w:after="120" w:line="269" w:lineRule="auto"/>
      </w:pPr>
      <w:r>
        <w:t>Comparison validity. RESTler, QuickREST, and EvoMaster differ in required inputs, white-box/black-box assumptions, and generated artifact formats. Comparisons must use a common protocol only where those assumptions align; otherwise, the paper should report the incompatibility rather than forcing a numerical ranking.</w:t>
      </w:r>
    </w:p>
    <w:p>
      <w:pPr>
        <w:spacing w:after="120" w:line="269" w:lineRule="auto"/>
      </w:pPr>
      <w:r>
        <w:t>Reproducibility. The current repository does not include frozen experimental datasets, benchmark scripts, baseline adapters, raw experiment logs, or cost records. These artifacts are prerequisites for a submission-ready empirical paper.</w:t>
      </w:r>
    </w:p>
    <w:p>
      <w:pPr>
        <w:pStyle w:val="Heading2"/>
        <w:spacing w:before="240" w:after="120"/>
      </w:pPr>
      <w:r>
        <w:t>IX. Conclusion and Future Work</w:t>
      </w:r>
    </w:p>
    <w:p>
      <w:pPr>
        <w:spacing w:after="120" w:line="269" w:lineRule="auto"/>
      </w:pPr>
      <w:r>
        <w:t>This paper described AQUA as an implemented LLM-assisted API-testing platform with normalized specification ingestion, operation-constrained case generation, deterministic execution and assertions, dependent workflows, redacted evidence persistence, and passive security findings. Repository inspection and regression tests support these implementation claims. They do not yet support comparative claims about effectiveness, coverage, fault detection, security precision, runtime, or cost. The next work is to execute the evaluation protocol with fixed systems and fair baselines, publish the associated artifacts, and revise the Results and Discussion sections using measured evidence only.</w:t>
      </w:r>
    </w:p>
    <w:p>
      <w:pPr>
        <w:pStyle w:val="Heading2"/>
        <w:spacing w:before="240" w:after="120"/>
      </w:pPr>
      <w:r>
        <w:t>Data Availability</w:t>
      </w:r>
    </w:p>
    <w:p>
      <w:pPr>
        <w:spacing w:after="120" w:line="269" w:lineRule="auto"/>
      </w:pPr>
      <w:r>
        <w:t>[REQUIRES EVIDENCE] The final paper should provide an archival repository URL containing the AQUA source revision, experiment scripts, frozen OpenAPI inputs, baseline adapters, redacted logs, and a results manifest. The repository currently includes a local test target but not a completed experimental artifact package.</w:t>
      </w:r>
    </w:p>
    <w:p>
      <w:pPr>
        <w:pStyle w:val="Heading2"/>
        <w:spacing w:before="240" w:after="120"/>
      </w:pPr>
      <w:r>
        <w:t>Ethics and Security Statement</w:t>
      </w:r>
    </w:p>
    <w:p>
      <w:pPr>
        <w:spacing w:after="120" w:line="269" w:lineRule="auto"/>
      </w:pPr>
      <w:r>
        <w:t>The platform performs only passive API-security analysis by default. Active or destructive probes are disabled and should be executed only in explicitly authorized, isolated environments. Experimental APIs must be owned by, publicly designated for testing by, or explicitly authorized by their operators. No student data or human-subject data are used in the current study design.</w:t>
      </w:r>
    </w:p>
    <w:p>
      <w:pPr>
        <w:pStyle w:val="Heading2"/>
        <w:spacing w:before="240" w:after="120"/>
      </w:pPr>
      <w:r>
        <w:t>CRediT Author Contributions</w:t>
      </w:r>
    </w:p>
    <w:p>
      <w:pPr>
        <w:spacing w:after="120" w:line="269" w:lineRule="auto"/>
      </w:pPr>
      <w:r>
        <w:t>[REQUIRES AUTHOR INPUT] Specify conceptualization, methodology, software, validation, investigation, data curation, writing, visualization, supervision, and project administration contributions using the CRediT taxonomy.</w:t>
      </w:r>
    </w:p>
    <w:p>
      <w:pPr>
        <w:pStyle w:val="Heading2"/>
        <w:spacing w:before="240" w:after="120"/>
      </w:pPr>
      <w:r>
        <w:t>Conflict of Interest</w:t>
      </w:r>
    </w:p>
    <w:p>
      <w:pPr>
        <w:spacing w:after="120" w:line="269" w:lineRule="auto"/>
      </w:pPr>
      <w:r>
        <w:t>[REQUIRES AUTHOR INPUT] The authors declare no competing interests, or disclose them here.</w:t>
      </w:r>
    </w:p>
    <w:p>
      <w:pPr>
        <w:pStyle w:val="Heading2"/>
        <w:spacing w:before="240" w:after="120"/>
      </w:pPr>
      <w:r>
        <w:t>Funding</w:t>
      </w:r>
    </w:p>
    <w:p>
      <w:pPr>
        <w:spacing w:after="120" w:line="269" w:lineRule="auto"/>
      </w:pPr>
      <w:r>
        <w:t>[REQUIRES AUTHOR INPUT] State funding support or “This research received no specific grant from any funding agency in the public, commercial, or not-for-profit sectors.”</w:t>
      </w:r>
    </w:p>
    <w:p>
      <w:pPr>
        <w:pStyle w:val="Heading2"/>
        <w:spacing w:before="240" w:after="120"/>
      </w:pPr>
      <w:r>
        <w:t>AI-Use Disclosure</w:t>
      </w:r>
    </w:p>
    <w:p>
      <w:pPr>
        <w:spacing w:after="120" w:line="269" w:lineRule="auto"/>
      </w:pPr>
      <w:r>
        <w:t>[REQUIRES VENUE POLICY AND AUTHOR CONFIRMATION] This manuscript draft was prepared with AI-assisted literature organization and language editing under author review. Replace this statement with the selected venue’s required disclosure and the authors’ accurate account of tool use.</w:t>
      </w:r>
    </w:p>
    <w:p>
      <w:pPr>
        <w:pStyle w:val="Heading2"/>
        <w:spacing w:before="240" w:after="120"/>
      </w:pPr>
      <w:r>
        <w:t>References</w:t>
      </w:r>
    </w:p>
    <w:p>
      <w:pPr>
        <w:spacing w:after="120" w:line="269" w:lineRule="auto"/>
      </w:pPr>
      <w:r>
        <w:t>[1] V. Atlidakis, P. Godefroid, and M. Polishchuk, “RESTler: Stateful REST API Fuzzing,” in *Proceedings of the 41st International Conference on Software Engineering*, 2019, doi: 10.1109/ICSE.2019.00083.</w:t>
      </w:r>
    </w:p>
    <w:p>
      <w:pPr>
        <w:spacing w:after="120" w:line="269" w:lineRule="auto"/>
      </w:pPr>
      <w:r>
        <w:t>[2] S. Karlsson, A. Causevic, and D. Sundmark, “QuickREST: Property-based Test Generation of OpenAPI-Described RESTful APIs,” arXiv:1912.09686, 2019. [VERIFY ARCHIVAL VERSION]</w:t>
      </w:r>
    </w:p>
    <w:p>
      <w:pPr>
        <w:spacing w:after="120" w:line="269" w:lineRule="auto"/>
      </w:pPr>
      <w:r>
        <w:t>[3] A. Arcuri, J. P. Galeotti, B. Marculescu, and M. Zhang, “EvoMaster: A Search-Based System Test Generation Tool,” *Journal of Open Source Software*, vol. 6, no. 57, p. 2153, 2021, doi: 10.21105/joss.02153.</w:t>
      </w:r>
    </w:p>
    <w:p>
      <w:pPr>
        <w:spacing w:after="120" w:line="269" w:lineRule="auto"/>
      </w:pPr>
      <w:r>
        <w:t>[4] A. Pereira, B. Lima, and J. P. Faria, “APITestGenie: Automated API Test Generation through Generative AI,” arXiv:2409.03838, 2024, doi: 10.48550/arXiv.2409.03838.</w:t>
      </w:r>
    </w:p>
    <w:p>
      <w:pPr>
        <w:spacing w:after="120" w:line="269" w:lineRule="auto"/>
      </w:pPr>
      <w:r>
        <w:t>[5] T. Stennett, M. Kim, S. Sinha, and A. Orso, “AutoRestTest: A Tool for Automated REST API Testing Using LLMs and MARL,” arXiv:2501.08600, 2025, doi: 10.48550/arXiv.2501.08600.</w:t>
      </w:r>
    </w:p>
    <w:p>
      <w:pPr>
        <w:spacing w:after="120" w:line="269" w:lineRule="auto"/>
      </w:pPr>
      <w:r>
        <w:t>[6] J. Besjes, R. Nooyens, T. Bardakci, M. Beyazit, and S. Demeyer, “Agentic LLMs for REST API Test Amplification: A Comparative Study Across Cloud Applications,” arXiv:2510.27417, 2025, doi: 10.48550/arXiv.2510.27417.</w:t>
      </w:r>
    </w:p>
    <w:p>
      <w:pPr>
        <w:spacing w:after="120" w:line="269" w:lineRule="auto"/>
      </w:pPr>
      <w:r>
        <w:t>[7] M. M. Hasan, H. Li, E. Fallahzadeh, G. K. Rajbahadur, B. Adams, and A. E. Hassan, “An Empirical Study of Testing Practices in Open Source AI Agent Frameworks and Agentic Applications,” arXiv:2509.19185, 2025. [VERIFY ARCHIVAL VERSION AND DOI]</w:t>
      </w:r>
    </w:p>
    <w:p>
      <w:r>
        <w:br w:type="page"/>
      </w:r>
    </w:p>
    <w:p>
      <w:pPr>
        <w:pStyle w:val="Heading1"/>
      </w:pPr>
      <w:r>
        <w:t>Project and Experiment Audit</w:t>
      </w:r>
    </w:p>
    <w:p>
      <w:pPr>
        <w:pStyle w:val="Heading1"/>
        <w:spacing w:before="240" w:after="120"/>
      </w:pPr>
      <w:r>
        <w:t>AQUA project and evidence audit</w:t>
      </w:r>
    </w:p>
    <w:p>
      <w:pPr>
        <w:spacing w:after="120" w:line="269" w:lineRule="auto"/>
      </w:pPr>
      <w:r>
        <w:t>Audit date: 2026-09-24</w:t>
      </w:r>
    </w:p>
    <w:p>
      <w:pPr>
        <w:spacing w:after="120" w:line="269" w:lineRule="auto"/>
      </w:pPr>
      <w:r>
        <w:t>Purpose: establish the implementation facts and evidence limits that bound a journal-paper submission.</w:t>
      </w:r>
    </w:p>
    <w:p>
      <w:pPr>
        <w:pStyle w:val="Heading2"/>
        <w:spacing w:before="240" w:after="120"/>
      </w:pPr>
      <w:r>
        <w:t>Implemented system scope</w:t>
      </w:r>
    </w:p>
    <w:p>
      <w:pPr>
        <w:spacing w:after="120" w:line="269" w:lineRule="auto"/>
      </w:pPr>
      <w:r>
        <w:t>AQUA is a React/Vite frontend and FastAPI backend backed by MongoDB. Its implemented, paper-relevant API-testing path accepts OpenAPI or Postman-derived specifications, normalizes API operations, generates schema-constrained API test cases through a configured LLM, executes requests deterministically with httpx, evaluates assertions, persists runs, and creates passive security findings. API workflows can pass extracted response values to dependent requests. The frontend exposes an authenticated API workspace for import, editing requests and assertions, execution, run history, and finding remediation.</w:t>
      </w:r>
    </w:p>
    <w:p>
      <w:pPr>
        <w:spacing w:after="120" w:line="269" w:lineRule="auto"/>
      </w:pPr>
      <w:r>
        <w:t>The UI-testing path fetches a page, extracts interactive DOM elements, stores element representations in Chroma, generates UI test cases through an LLM, and uses retrieved element context when generating Playwright scripts. A deterministic Playwright-script fallback is present. The backend also exposes a single LLM decision step that decides whether to trigger UI-test generation.</w:t>
      </w:r>
    </w:p>
    <w:p>
      <w:pPr>
        <w:pStyle w:val="Heading2"/>
        <w:spacing w:before="240" w:after="120"/>
      </w:pPr>
      <w:r>
        <w:t>Explicit non-claims</w:t>
      </w:r>
    </w:p>
    <w:p>
      <w:pPr>
        <w:pStyle w:val="ListBullet"/>
      </w:pPr>
      <w:r>
        <w:t>The repository does **not** implement a programming-assignment evaluator, student-submission grader, Digital TA feedback workflow, Piston execution service, or Supabase integration.</w:t>
      </w:r>
    </w:p>
    <w:p>
      <w:pPr>
        <w:pStyle w:val="ListBullet"/>
      </w:pPr>
      <w:r>
        <w:t>The `Analyzer`, `Planner`, `Executor`, and `Observer` modules are empty. AQUA must not be described as an implemented multi-agent architecture.</w:t>
      </w:r>
    </w:p>
    <w:p>
      <w:pPr>
        <w:pStyle w:val="ListBullet"/>
      </w:pPr>
      <w:r>
        <w:t>The one-shot `run_agent_once` endpoint is an LLM-controlled decision boundary, not an iterative agent loop with observation, planning, and execution roles.</w:t>
      </w:r>
    </w:p>
    <w:p>
      <w:pPr>
        <w:pStyle w:val="ListBullet"/>
      </w:pPr>
      <w:r>
        <w:t>No empirical benchmark, user study, API-coverage measurement, defect-detection study, cost study, or comparison against an external baseline is stored in the repository.</w:t>
      </w:r>
    </w:p>
    <w:p>
      <w:pPr>
        <w:pStyle w:val="Heading2"/>
        <w:spacing w:before="240" w:after="120"/>
      </w:pPr>
      <w:r>
        <w:t>Implementation evidence</w:t>
      </w:r>
    </w:p>
    <w:p>
      <w:pPr>
        <w:pStyle w:val="ListBullet"/>
      </w:pPr>
      <w:r>
        <w:t>`backend/app/services/openapi_parser.py`: parses OpenAPI documents into normalized operations, including paths, parameters, request/response schemas, and declared authentication schemes.</w:t>
      </w:r>
    </w:p>
    <w:p>
      <w:pPr>
        <w:pStyle w:val="ListBullet"/>
      </w:pPr>
      <w:r>
        <w:t>`backend/app/services/api_case_generation.py`: requests JSON test cases from an LLM and rejects any case whose method/path is absent from the imported operation set.</w:t>
      </w:r>
    </w:p>
    <w:p>
      <w:pPr>
        <w:pStyle w:val="ListBullet"/>
      </w:pPr>
      <w:r>
        <w:t>`backend/app/services/api_executor.py`: performs deterministic HTTP execution, substitutes declared variables, supports bearer/basic request credentials, and evaluates assertions.</w:t>
      </w:r>
    </w:p>
    <w:p>
      <w:pPr>
        <w:pStyle w:val="ListBullet"/>
      </w:pPr>
      <w:r>
        <w:t>`backend/app/services/api_workflow.py`: supports dependent-request execution.</w:t>
      </w:r>
    </w:p>
    <w:p>
      <w:pPr>
        <w:pStyle w:val="ListBullet"/>
      </w:pPr>
      <w:r>
        <w:t>`backend/app/services/api_security_scan.py`: performs passive checks; active probes explicitly fail closed.</w:t>
      </w:r>
    </w:p>
    <w:p>
      <w:pPr>
        <w:pStyle w:val="ListBullet"/>
      </w:pPr>
      <w:r>
        <w:t>`backend/app/services/test_generation_service.py`, `backend/app/core/rag/knowledge_manager.py`, and `backend/app/services/playwright_generator.py`: implement the UI/RAG/Playwright path.</w:t>
      </w:r>
    </w:p>
    <w:p>
      <w:pPr>
        <w:pStyle w:val="ListBullet"/>
      </w:pPr>
      <w:r>
        <w:t>`aqua-test-target/`: a local social-media API with nine documented operations and deliberately seeded local-only security signals; it is a potential controlled system under test, not an evaluated benchmark.</w:t>
      </w:r>
    </w:p>
    <w:p>
      <w:pPr>
        <w:pStyle w:val="Heading2"/>
        <w:spacing w:before="240" w:after="120"/>
      </w:pPr>
      <w:r>
        <w:t>Current software validation</w:t>
      </w:r>
    </w:p>
    <w:p>
      <w:pPr>
        <w:spacing w:after="120" w:line="269" w:lineRule="auto"/>
      </w:pPr>
      <w:r>
        <w:t>On 2026-09-24, uv run pytest collected and passed 48 backend tests. npm run lint &amp;&amp; npm run build completed successfully for the frontend; the build emitted only a chunk-size warning. These results establish regression-test and build health. They do not establish test-generation effectiveness, fault-detection effectiveness, usability, or generalizability.</w:t>
      </w:r>
    </w:p>
    <w:p>
      <w:pPr>
        <w:pStyle w:val="Heading2"/>
        <w:spacing w:before="240" w:after="120"/>
      </w:pPr>
      <w:r>
        <w:t>Experimental evidence audit</w:t>
      </w:r>
    </w:p>
    <w:p>
      <w:pPr>
        <w:spacing w:after="120" w:line="269" w:lineRule="auto"/>
      </w:pPr>
      <w:r>
        <w:t>Detected axes: task_type=general; evidence_type=baseline, reproducibility, real-world, statistical; failure_mode=missing-traditional-baseline, overclaimed-results, insufficient-reproducibility; stage=planning.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Proposed claim</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Required evidence</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Current evidence</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Missing experiment</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Review risk</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AQUA produces structurally valid API cases from imported specifications.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A fixed corpus of OpenAPI specifications; proportion of generated cases that validate against the imported operation set; raw failures.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Code validates the generated case model and method/path membership; unit tests cover rejection of unknown operations.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Generate a fixed number of cases per specification across repeated runs and report validation rate with confidence intervals.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Critical</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AQUA improves executable-test yield relative to a simple baseline.</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Same specifications, models, budgets, and execution environment; executable-test rate and assertion-pass rate against a deterministic/spec-template baseline.</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No comparative run data.</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[EXPERIMENT REQUIRED] Implement and evaluate a deterministic OpenAPI-template baseline.</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Critical</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AQUA supports stateful/dependent API workflows.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Workflows requiring value extraction and authenticated follow-on requests; completion rate and manual-repair rate.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Workflow implementation and unit coverage exist; the local target contains login-to-post/comment flows.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[EXPERIMENT REQUIRED] Execute a predefined workflow corpus against the local target and at least two independent open-source APIs.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Critical</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Passive analysis identifies meaningful API-security findings.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Seeded, documented findings; precision/recall against a manually labeled ground truth; false-positive analysis.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Code checks declared authentication, static authorization heuristics, CORS, rate-limit headers, error responses, schema mismatch, and sensitive-looking response fields. The local target intentionally exposes safe signals.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[EXPERIMENT REQUIRED] Create and release a finding ground-truth ledger, then report precision, recall, and per-category results.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Critical</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The platform is practical for local use.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Runtime, token/cost accounting, memory, hardware/software versions, and repeated-run variance.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None.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[EXPERIMENT REQUIRED] Measure per-stage latency and resource use under fixed model/provider settings.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Major</w:t>
            </w:r>
          </w:p>
        </w:tc>
      </w:tr>
    </w:tbl>
    <w:p/>
    <w:p>
      <w:pPr>
        <w:pStyle w:val="Heading2"/>
        <w:spacing w:before="240" w:after="120"/>
      </w:pPr>
      <w:r>
        <w:t>Minimum experiment package</w:t>
      </w:r>
    </w:p>
    <w:p>
      <w:pPr>
        <w:spacing w:after="120" w:line="269" w:lineRule="auto"/>
      </w:pPr>
      <w:r>
        <w:t>1. Select at least three reproducible OpenAPI-described systems: the included local target plus two independently maintained, containerized/open-source APIs. Keep versions, commit hashes, OpenAPI files, and reset procedure fixed.</w:t>
      </w:r>
    </w:p>
    <w:p>
      <w:pPr>
        <w:spacing w:after="120" w:line="269" w:lineRule="auto"/>
      </w:pPr>
      <w:r>
        <w:t>2. Compare AQUA with (a) a deterministic OpenAPI-template generator and (b) one established black-box API-testing tool that can run on the selected systems. State when a baseline cannot support a system and exclude it symmetrically.</w:t>
      </w:r>
    </w:p>
    <w:p>
      <w:pPr>
        <w:spacing w:after="120" w:line="269" w:lineRule="auto"/>
      </w:pPr>
      <w:r>
        <w:t>3. For each system, run a preregistered number of seeds/generation attempts with identical request budgets. Measure schema-valid generation rate, executable-test rate, operation coverage, parameter coverage where measurable, workflow completion, unique seeded faults/findings detected, latency, and token/cost use.</w:t>
      </w:r>
    </w:p>
    <w:p>
      <w:pPr>
        <w:spacing w:after="120" w:line="269" w:lineRule="auto"/>
      </w:pPr>
      <w:r>
        <w:t>4. Conduct ablations that isolate schema validation and dependency workflow support. Do not claim a RAG contribution unless the UI path is separately evaluated.</w:t>
      </w:r>
    </w:p>
    <w:p>
      <w:pPr>
        <w:spacing w:after="120" w:line="269" w:lineRule="auto"/>
      </w:pPr>
      <w:r>
        <w:t>5. Publish prompts, model identifiers and parameters, complete OpenAPI inputs, execution logs with secrets redacted, scripts, environment details, and raw per-run results.</w:t>
      </w:r>
    </w:p>
    <w:p>
      <w:pPr>
        <w:pStyle w:val="Heading2"/>
        <w:spacing w:before="240" w:after="120"/>
      </w:pPr>
      <w:r>
        <w:t>Manuscript-safe contribution framing before experiments</w:t>
      </w:r>
    </w:p>
    <w:p>
      <w:pPr>
        <w:spacing w:after="120" w:line="269" w:lineRule="auto"/>
      </w:pPr>
      <w:r>
        <w:t>Until the experiment package is completed, the paper may claim an implementation: an integrated workflow that constrains LLM-generated API cases to imported operations and executes them through a deterministic runner with persisted evidence and passive security checks. It must not claim improved coverage, higher fault detection, better accuracy, cost efficiency, or superiority over prior systems.</w:t>
      </w:r>
    </w:p>
    <w:p>
      <w:r>
        <w:br w:type="page"/>
      </w:r>
    </w:p>
    <w:p>
      <w:pPr>
        <w:pStyle w:val="Heading1"/>
      </w:pPr>
      <w:r>
        <w:t>Literature Review</w:t>
      </w:r>
    </w:p>
    <w:p>
      <w:pPr>
        <w:pStyle w:val="Heading1"/>
        <w:spacing w:before="240" w:after="120"/>
      </w:pPr>
      <w:r>
        <w:t>Scoped literature review: LLM-assisted API testing</w:t>
      </w:r>
    </w:p>
    <w:p>
      <w:pPr>
        <w:spacing w:after="120" w:line="269" w:lineRule="auto"/>
      </w:pPr>
      <w:r>
        <w:t>Search date: 2026-09-24</w:t>
      </w:r>
    </w:p>
    <w:p>
      <w:pPr>
        <w:spacing w:after="120" w:line="269" w:lineRule="auto"/>
      </w:pPr>
      <w:r>
        <w:t>Review type: targeted, evidence-mapping review for a systems paper; not a PRISMA systematic review.</w:t>
      </w:r>
    </w:p>
    <w:p>
      <w:pPr>
        <w:pStyle w:val="Heading2"/>
        <w:spacing w:before="240" w:after="120"/>
      </w:pPr>
      <w:r>
        <w:t>Scope and screening</w:t>
      </w:r>
    </w:p>
    <w:p>
      <w:pPr>
        <w:spacing w:after="120" w:line="269" w:lineRule="auto"/>
      </w:pPr>
      <w:r>
        <w:t>The review covers automated REST/API test generation, OpenAPI-driven testing, LLM-assisted API testing, and testing of agentic applications. It uses implementation relevance as the primary screen. Automated program assessment, Digital Teaching Assistants, and RAG-for-software-engineering were searched as adjacent topics but are excluded from the core synthesis because the audited AQUA implementation does not contain those capabilities.</w:t>
      </w:r>
    </w:p>
    <w:p>
      <w:pPr>
        <w:spacing w:after="120" w:line="269" w:lineRule="auto"/>
      </w:pPr>
      <w:r>
        <w:t>Searches used title/keyword queries across arXiv, publisher/author pages, and recognized project/publication pages. Included work either (1) evaluates REST/API test generation or (2) supplies a methodological baseline for evaluating LLM/agentic testing. Preprints are labeled as such and must be re-checked for archival versions at submission time.</w:t>
      </w:r>
    </w:p>
    <w:p>
      <w:pPr>
        <w:pStyle w:val="Heading2"/>
        <w:spacing w:before="240" w:after="120"/>
      </w:pPr>
      <w:r>
        <w:t>Literature matrix</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Work</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Problem and approach</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Evaluation/evidence</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Limitation relevant to AQUA</w:t>
            </w:r>
          </w:p>
        </w:tc>
        <w:tc>
          <w:tcPr>
            <w:tcW w:type="dxa" w:w="1987"/>
            <w:vAlign w:val="center"/>
            <w:tcBorders>
              <w:top w:val="single" w:sz="4" w:color="D9D9D9"/>
              <w:left w:val="single" w:sz="4" w:color="D9D9D9"/>
              <w:bottom w:val="single" w:sz="4" w:color="D9D9D9"/>
              <w:right w:val="single" w:sz="4" w:color="D9D9D9"/>
            </w:tcBorders>
            <w:shd w:fill="1F4E79"/>
          </w:tcPr>
          <w:p>
            <w:pPr>
              <w:spacing w:after="40"/>
            </w:pPr>
            <w:r>
              <w:rPr>
                <w:b/>
                <w:color w:val="FFFFFF"/>
                <w:sz w:val="18"/>
              </w:rPr>
              <w:t>Relevance</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Atlidakis, Godefroid, and Polishchuk, “RESTler: Stateful REST API Fuzzing” (ICSE 2019)</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Stateful REST API fuzzing from a specification, with dependency-aware request sequencing.</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Evaluated on production Azure services and additional APIs.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A rigorous conventional baseline; AQUA needs explicit workflow/dependency evaluation rather than only isolated request generation.</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Core traditional baseline.</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Karlsson, Causevic, and Sundmark, “QuickREST: Property-based Test Generation of OpenAPI-Described RESTful APIs” (2020 preprint)</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Generates property-based tests and oracle material from OpenAPI descriptions.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Reports industrial and open-source service experiments and specification/implementation mismatches.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Demonstrates that OpenAPI can support both generation and validation; AQUA must make its oracle/assertion semantics measurable.</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Core specification-driven comparator.</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Arcuri et al., “EvoMaster: A Search-Based System Test Generation Tool” (JOSS 2021)</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Search-based, system-level test generation for REST/GraphQL/RPC APIs.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Tool paper with established benchmark and replication ecosystem.</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Its stronger empirical norms make simple unit tests insufficient evidence for AQUA.</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Core search-based comparator.</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Pereira, Lima, and Faria, “APITestGenie: Automated API Test Generation through Generative AI” (arXiv 2024)</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Uses LLMs to generate executable API test scripts from business requirements and API specifications.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Ten real-world APIs; reports 57% valid scripts on one attempt and 80% after three attempts.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The authors recommend human validation before CI/CD use; AQUA should report validity, repair burden, and execution outcomes rather than only generated cases.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Closest LLM-generation work.</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Stennett et al., “AutoRestTest: A Tool for Automated REST API Testing Using LLMs and MARL” (arXiv 2025)</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Combines a semantic operation-dependency graph, MARL, and specialized agents for operation sequences, parameters, values, dependencies, and headers.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Preliminary tool results; reports telemetry on successful operations, unique server errors, and elapsed time.</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AQUA cannot claim an equivalent multi-agent or MARL approach. It can adopt its emphasis on dependency-aware telemetry.</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Closest agentic workflow contrast.</w:t>
            </w:r>
          </w:p>
        </w:tc>
      </w:tr>
      <w:tr>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Besjes et al., “Agentic LLMs for REST API Test Amplification: A Comparative Study Across Cloud Applications” (arXiv 2025)</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Compares single- and multi-agent LLM test amplification across cloud APIs.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Studies validity, coverage, defect detection, cost, runtime, energy, and maintainability; the reported multi-agent configuration has trade-offs.</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Sets an appropriate evidence bar for any agentic claim. AQUA’s current one-shot decision endpoint does not justify a multi-agent comparison claim.</w:t>
            </w:r>
          </w:p>
        </w:tc>
        <w:tc>
          <w:tcPr>
            <w:tcW w:type="dxa" w:w="1987"/>
            <w:vAlign w:val="center"/>
            <w:tcBorders>
              <w:top w:val="single" w:sz="4" w:color="D9D9D9"/>
              <w:left w:val="single" w:sz="4" w:color="D9D9D9"/>
              <w:bottom w:val="single" w:sz="4" w:color="D9D9D9"/>
              <w:right w:val="single" w:sz="4" w:color="D9D9D9"/>
            </w:tcBorders>
            <w:shd w:fill="F3F7FA"/>
          </w:tcPr>
          <w:p>
            <w:pPr>
              <w:spacing w:after="40"/>
            </w:pPr>
            <w:r>
              <w:rPr>
                <w:sz w:val="18"/>
              </w:rPr>
              <w:t>Evaluation-design guide.</w:t>
            </w:r>
          </w:p>
        </w:tc>
      </w:tr>
      <w:tr>
        <w:tc>
          <w:tcPr>
            <w:tcW w:type="dxa" w:w="1987"/>
            <w:vAlign w:val="center"/>
            <w:tcBorders>
              <w:top w:val="single" w:sz="4" w:color="D9D9D9"/>
              <w:left w:val="single" w:sz="4" w:color="D9D9D9"/>
              <w:bottom w:val="single" w:sz="4" w:color="D9D9D9"/>
              <w:right w:val="single" w:sz="4" w:color="D9D9D9"/>
            </w:tcBorders>
          </w:tcPr>
          <w:p>
            <w:pPr>
              <w:spacing w:after="40"/>
            </w:pPr>
            <w:r>
              <w:rPr>
                <w:sz w:val="18"/>
              </w:rPr>
              <w:t>Hasan et al., “An Empirical Study of Testing Practices in Open Source AI Agent Frameworks and Agentic Applications” (arXiv 2025; later archival status must be verified)</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Mines testing practices in agent frameworks and applications.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39 frameworks and 439 applications; finds much testing effort targets deterministic tools/workflows rather than FM plan bodies.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Supports testing the deterministic boundaries, prompts, schemas, and workflow contracts separately. It does not validate AQUA’s effectiveness.</w:t>
            </w:r>
          </w:p>
        </w:tc>
        <w:tc>
          <w:tcPr>
            <w:tcW w:type="dxa" w:w="1987"/>
            <w:vAlign w:val="center"/>
            <w:tcBorders>
              <w:top w:val="single" w:sz="4" w:color="D9D9D9"/>
              <w:left w:val="single" w:sz="4" w:color="D9D9D9"/>
              <w:bottom w:val="single" w:sz="4" w:color="D9D9D9"/>
              <w:right w:val="single" w:sz="4" w:color="D9D9D9"/>
            </w:tcBorders>
          </w:tcPr>
          <w:p>
            <w:pPr>
              <w:spacing w:after="40"/>
            </w:pPr>
            <w:r>
              <w:rPr>
                <w:sz w:val="18"/>
              </w:rPr>
              <w:t>Agent-validation context.</w:t>
            </w:r>
          </w:p>
        </w:tc>
      </w:tr>
    </w:tbl>
    <w:p/>
    <w:p>
      <w:pPr>
        <w:pStyle w:val="Heading2"/>
        <w:spacing w:before="240" w:after="120"/>
      </w:pPr>
      <w:r>
        <w:t>Thematic synthesis</w:t>
      </w:r>
    </w:p>
    <w:p>
      <w:pPr>
        <w:pStyle w:val="Heading3"/>
        <w:spacing w:before="240" w:after="120"/>
      </w:pPr>
      <w:r>
        <w:t>Specification-driven and search-based API testing</w:t>
      </w:r>
    </w:p>
    <w:p>
      <w:pPr>
        <w:spacing w:after="120" w:line="269" w:lineRule="auto"/>
      </w:pPr>
      <w:r>
        <w:t>RESTler, QuickREST, and EvoMaster represent complementary non-LLM baselines. They turn API descriptions, state/dependency information, or search feedback into executable test inputs. Their role in this paper is not merely historical: they establish that a credible evaluation must distinguish operation coverage, stateful workflow coverage, test validity, oracle quality, and fault detection. AQUA currently has specification parsing and deterministic execution, but it has not yet measured any of these outcomes.</w:t>
      </w:r>
    </w:p>
    <w:p>
      <w:pPr>
        <w:pStyle w:val="Heading3"/>
        <w:spacing w:before="240" w:after="120"/>
      </w:pPr>
      <w:r>
        <w:t>LLM-assisted generation and the executable-test gap</w:t>
      </w:r>
    </w:p>
    <w:p>
      <w:pPr>
        <w:spacing w:after="120" w:line="269" w:lineRule="auto"/>
      </w:pPr>
      <w:r>
        <w:t>APITestGenie shows that LLM-produced scripts can be useful while still requiring validation and human review. Its reported one-attempt versus repeated-attempt validity figures make executable-test yield a necessary metric for AQUA. AQUA’s operation-membership check is narrower than full semantic correctness: it prevents absent method/path combinations but does not prove correct values, assertions, authentication, or state transitions.</w:t>
      </w:r>
    </w:p>
    <w:p>
      <w:pPr>
        <w:pStyle w:val="Heading3"/>
        <w:spacing w:before="240" w:after="120"/>
      </w:pPr>
      <w:r>
        <w:t>Agentic approaches and evidence discipline</w:t>
      </w:r>
    </w:p>
    <w:p>
      <w:pPr>
        <w:spacing w:after="120" w:line="269" w:lineRule="auto"/>
      </w:pPr>
      <w:r>
        <w:t>AutoRestTest and the comparative test-amplification study model substantially richer agentic workflows than AQUA implements. They foreground operation dependencies, outcomes from actual executions, and cost/coverage trade-offs. Therefore, the paper should position AQUA as an auditable LLM-assisted testing platform, not as a multi-agent testing method. The empirical study of agent testing further motivates separate tests for deterministic workflow tools and prompt/model behavior.</w:t>
      </w:r>
    </w:p>
    <w:p>
      <w:pPr>
        <w:pStyle w:val="Heading2"/>
        <w:spacing w:before="240" w:after="120"/>
      </w:pPr>
      <w:r>
        <w:t>Evidence-supported gap</w:t>
      </w:r>
    </w:p>
    <w:p>
      <w:pPr>
        <w:spacing w:after="120" w:line="269" w:lineRule="auto"/>
      </w:pPr>
      <w:r>
        <w:t>The defensible gap is not “no tool uses LLMs for API tests.” Prior work clearly does. A narrower, testable systems gap is the need for an auditable integration layer that converts imported API descriptions into constrained LLM-generated candidate cases, runs them through deterministic execution and assertions, persists redacted evidence, supports dependent workflows, and exposes passive security findings. Whether this integration improves testing outcomes remains an experimental question.</w:t>
      </w:r>
    </w:p>
    <w:p>
      <w:pPr>
        <w:pStyle w:val="Heading2"/>
        <w:spacing w:before="240" w:after="120"/>
      </w:pPr>
      <w:r>
        <w:t>Sources to verify before submission</w:t>
      </w:r>
    </w:p>
    <w:p>
      <w:pPr>
        <w:spacing w:after="120" w:line="269" w:lineRule="auto"/>
      </w:pPr>
      <w:r>
        <w:t>1. V. Atlidakis, P. Godefroid, and M. Polishchuk, “RESTler: Stateful REST API Fuzzing,” *ICSE*, 2019, doi: 10.1109/ICSE.2019.00083.</w:t>
      </w:r>
    </w:p>
    <w:p>
      <w:pPr>
        <w:spacing w:after="120" w:line="269" w:lineRule="auto"/>
      </w:pPr>
      <w:r>
        <w:t>2. S. Karlsson, A. Causevic, and D. Sundmark, “QuickREST: Property-based Test Generation of OpenAPI-Described RESTful APIs,” arXiv:1912.09686, 2019. Verify the archival publication details before final references.</w:t>
      </w:r>
    </w:p>
    <w:p>
      <w:pPr>
        <w:spacing w:after="120" w:line="269" w:lineRule="auto"/>
      </w:pPr>
      <w:r>
        <w:t>3. A. Arcuri, J. P. Galeotti, B. Marculescu, and M. Zhang, “EvoMaster: A Search-Based System Test Generation Tool,” *Journal of Open Source Software*, vol. 6, no. 57, 2021, doi: 10.21105/joss.02153.</w:t>
      </w:r>
    </w:p>
    <w:p>
      <w:pPr>
        <w:spacing w:after="120" w:line="269" w:lineRule="auto"/>
      </w:pPr>
      <w:r>
        <w:t>4. A. Pereira, B. Lima, and J. P. Faria, “APITestGenie: Automated API Test Generation through Generative AI,” arXiv:2409.03838, 2024, doi: 10.48550/arXiv.2409.03838.</w:t>
      </w:r>
    </w:p>
    <w:p>
      <w:pPr>
        <w:spacing w:after="120" w:line="269" w:lineRule="auto"/>
      </w:pPr>
      <w:r>
        <w:t>5. T. Stennett, M. Kim, S. Sinha, and A. Orso, “AutoRestTest: A Tool for Automated REST API Testing Using LLMs and MARL,” arXiv:2501.08600, 2025, doi: 10.48550/arXiv.2501.08600.</w:t>
      </w:r>
    </w:p>
    <w:p>
      <w:pPr>
        <w:spacing w:after="120" w:line="269" w:lineRule="auto"/>
      </w:pPr>
      <w:r>
        <w:t>6. J. Besjes, R. Nooyens, T. Bardakci, M. Beyazit, and S. Demeyer, “Agentic LLMs for REST API Test Amplification: A Comparative Study Across Cloud Applications,” arXiv:2510.27417, 2025, doi: 10.48550/arXiv.2510.27417.</w:t>
      </w:r>
    </w:p>
    <w:p>
      <w:pPr>
        <w:spacing w:after="120" w:line="269" w:lineRule="auto"/>
      </w:pPr>
      <w:r>
        <w:t>7. M. M. Hasan, H. Li, E. Fallahzadeh, G. K. Rajbahadur, B. Adams, and A. E. Hassan, “An Empirical Study of Testing Practices in Open Source AI Agent Frameworks and Agentic Applications,” arXiv:2509.19185, 2025. Verify any later journal version and DOI before submission.</w:t>
      </w:r>
    </w:p>
    <w:p>
      <w:pPr>
        <w:pStyle w:val="Heading2"/>
        <w:spacing w:before="240" w:after="120"/>
      </w:pPr>
      <w:r>
        <w:t>Review limitations</w:t>
      </w:r>
    </w:p>
    <w:p>
      <w:pPr>
        <w:spacing w:after="120" w:line="269" w:lineRule="auto"/>
      </w:pPr>
      <w:r>
        <w:t>This is a curated seed corpus, not an exhaustive systematic-search corpus. Citation metadata for the two works known here only as preprints must be resolved against their publisher records before submission. No claims in the manuscript should rely on papers that have not been individually metadata-verified.</w:t>
      </w:r>
    </w:p>
    <w:p>
      <w:r>
        <w:br w:type="page"/>
      </w:r>
    </w:p>
    <w:p>
      <w:pPr>
        <w:pStyle w:val="Heading1"/>
      </w:pPr>
      <w:r>
        <w:t>Citation Audit</w:t>
      </w:r>
    </w:p>
    <w:p>
      <w:pPr>
        <w:pStyle w:val="Heading1"/>
        <w:spacing w:before="240" w:after="120"/>
      </w:pPr>
      <w:r>
        <w:t>Citation audit</w:t>
      </w:r>
    </w:p>
    <w:p>
      <w:pPr>
        <w:spacing w:after="120" w:line="269" w:lineRule="auto"/>
      </w:pPr>
      <w:r>
        <w:t>Audit date: 2026-09-24</w:t>
      </w:r>
    </w:p>
    <w:p>
      <w:pPr>
        <w:pStyle w:val="Heading2"/>
        <w:spacing w:before="240" w:after="120"/>
      </w:pPr>
      <w:r>
        <w:t>In-text/reference consistency</w:t>
      </w:r>
    </w:p>
    <w:p>
      <w:pPr>
        <w:spacing w:after="120" w:line="269" w:lineRule="auto"/>
      </w:pPr>
      <w:r>
        <w:t>The manuscript contains seven numbered in-text references, [1]–[7], and seven corresponding bibliography entries. No reference is used to substantiate an AQUA implementation fact; implementation facts are grounded in repository evidence. The citations support only contextual claims about prior API-testing and agent-testing work.</w:t>
      </w:r>
    </w:p>
    <w:p>
      <w:pPr>
        <w:pStyle w:val="Heading2"/>
        <w:spacing w:before="240" w:after="120"/>
      </w:pPr>
      <w:r>
        <w:t>Metadata verification</w:t>
      </w:r>
    </w:p>
    <w:p>
      <w:pPr>
        <w:spacing w:after="120" w:line="269" w:lineRule="auto"/>
      </w:pPr>
      <w:r>
        <w:t>The citation-management metadata tools resolved Crossref or arXiv records for all seed works.</w:t>
      </w:r>
    </w:p>
    <w:p>
      <w:pPr>
        <w:pStyle w:val="ListBullet"/>
      </w:pPr>
      <w:r>
        <w:t>[1] RESTler: Crossref DOI metadata resolved for `10.1109/ICSE.2019.00083`.</w:t>
      </w:r>
    </w:p>
    <w:p>
      <w:pPr>
        <w:pStyle w:val="ListBullet"/>
      </w:pPr>
      <w:r>
        <w:t>[2] QuickREST: arXiv metadata resolved for `1912.09686`. Its archival publication record remains to be confirmed before submission.</w:t>
      </w:r>
    </w:p>
    <w:p>
      <w:pPr>
        <w:pStyle w:val="ListBullet"/>
      </w:pPr>
      <w:r>
        <w:t>[3] EvoMaster: Crossref DOI metadata resolved for `10.21105/joss.02153`.</w:t>
      </w:r>
    </w:p>
    <w:p>
      <w:pPr>
        <w:pStyle w:val="ListBullet"/>
      </w:pPr>
      <w:r>
        <w:t>[4] APITestGenie: arXiv DOI metadata resolved for `10.48550/arXiv.2409.03838`.</w:t>
      </w:r>
    </w:p>
    <w:p>
      <w:pPr>
        <w:pStyle w:val="ListBullet"/>
      </w:pPr>
      <w:r>
        <w:t>[5] AutoRestTest: arXiv DOI metadata resolved for `10.48550/arXiv.2501.08600`.</w:t>
      </w:r>
    </w:p>
    <w:p>
      <w:pPr>
        <w:pStyle w:val="ListBullet"/>
      </w:pPr>
      <w:r>
        <w:t>[6] Agentic LLMs for REST API Test Amplification: arXiv DOI metadata resolved for `10.48550/arXiv.2510.27417`.</w:t>
      </w:r>
    </w:p>
    <w:p>
      <w:pPr>
        <w:pStyle w:val="ListBullet"/>
      </w:pPr>
      <w:r>
        <w:t>[7] Testing Practices in Open Source AI Agent Frameworks and Agentic Applications: arXiv metadata resolved for `2509.19185`; any archival journal version and DOI must be checked at submission.</w:t>
      </w:r>
    </w:p>
    <w:p>
      <w:pPr>
        <w:spacing w:after="120" w:line="269" w:lineRule="auto"/>
      </w:pPr>
      <w:r>
        <w:t>references.bib contains machine-extracted records for [1] and [3]–[6]; quickrest.bib and hasan.bib contain the arXiv records for [2] and [7]. The generic BibTeX validator parsed only three entries from the machine-exported references.bib, although DOI resolution succeeded for the three parsed arXiv records. Treat the generated BibTeX as a metadata source, not final typeset bibliography input. Normalize all seven entries with the selected IEEE journal template before submission.</w:t>
      </w:r>
    </w:p>
    <w:p>
      <w:pPr>
        <w:pStyle w:val="Heading2"/>
        <w:spacing w:before="240" w:after="120"/>
      </w:pPr>
      <w:r>
        <w:t>Citation decisions</w:t>
      </w:r>
    </w:p>
    <w:p>
      <w:pPr>
        <w:pStyle w:val="ListBullet"/>
      </w:pPr>
      <w:r>
        <w:t>The manuscript does not cite papers merely because their titles contain “agentic,” “RAG,” Digital TA, or program assessment. Those topics were screened as adjacent but are not part of the verified AQUA API-testing contribution.</w:t>
      </w:r>
    </w:p>
    <w:p>
      <w:pPr>
        <w:pStyle w:val="ListBullet"/>
      </w:pPr>
      <w:r>
        <w:t>Preprints are explicitly labeled as preprints. No citation treats them as peer-reviewed archival work.</w:t>
      </w:r>
    </w:p>
    <w:p>
      <w:pPr>
        <w:pStyle w:val="ListBullet"/>
      </w:pPr>
      <w:r>
        <w:t>Claims about APITestGenie’s reported valid-script rates and the scale of Hasan *et al.*’s empirical corpus are attributed narrowly to those papers; AQUA does not inherit their results.</w:t>
      </w:r>
    </w:p>
    <w:p>
      <w:pPr>
        <w:pStyle w:val="Heading2"/>
        <w:spacing w:before="240" w:after="120"/>
      </w:pPr>
      <w:r>
        <w:t>Remaining citation tasks</w:t>
      </w:r>
    </w:p>
    <w:p>
      <w:pPr>
        <w:spacing w:after="120" w:line="269" w:lineRule="auto"/>
      </w:pPr>
      <w:r>
        <w:t>1. Resolve an archival version of QuickREST, if one exists, and replace the arXiv citation.</w:t>
      </w:r>
    </w:p>
    <w:p>
      <w:pPr>
        <w:spacing w:after="120" w:line="269" w:lineRule="auto"/>
      </w:pPr>
      <w:r>
        <w:t>2. Resolve the final publication metadata for Hasan *et al.* and replace the preprint if appropriate.</w:t>
      </w:r>
    </w:p>
    <w:p>
      <w:pPr>
        <w:spacing w:after="120" w:line="269" w:lineRule="auto"/>
      </w:pPr>
      <w:r>
        <w:t>3. Re-run a journal-template reference checker after selecting the target venue.</w:t>
      </w:r>
    </w:p>
    <w:p>
      <w:pPr>
        <w:spacing w:after="120" w:line="269" w:lineRule="auto"/>
      </w:pPr>
      <w:r>
        <w:t>4. Expand the review only through individually verified primary sources; do not inflate the bibliography with unverified search hits.</w:t>
      </w:r>
    </w:p>
    <w:p>
      <w:r>
        <w:br w:type="page"/>
      </w:r>
    </w:p>
    <w:p>
      <w:pPr>
        <w:pStyle w:val="Heading1"/>
      </w:pPr>
      <w:r>
        <w:t>IEEE Pre Submission Review</w:t>
      </w:r>
    </w:p>
    <w:p>
      <w:pPr>
        <w:pStyle w:val="Heading1"/>
        <w:spacing w:before="240" w:after="120"/>
      </w:pPr>
      <w:r>
        <w:t>IEEE-style pre-submission review</w:t>
      </w:r>
    </w:p>
    <w:p>
      <w:pPr>
        <w:spacing w:after="120" w:line="269" w:lineRule="auto"/>
      </w:pPr>
      <w:r>
        <w:t>Detected axes: venue_type=generic; review_scope=full-manuscript; domain=ai-ml; strictness=harsh.</w:t>
      </w:r>
    </w:p>
    <w:p>
      <w:pPr>
        <w:spacing w:after="120" w:line="269" w:lineRule="auto"/>
      </w:pPr>
      <w:r>
        <w:t>Assessment boundary: the evidence-bounded manuscript draft in manuscript.md; no measured experiment results, target-venue instructions, figures, or author metadata were supplied.</w:t>
      </w:r>
    </w:p>
    <w:p>
      <w:pPr>
        <w:pStyle w:val="Heading2"/>
        <w:spacing w:before="240" w:after="120"/>
      </w:pPr>
      <w:r>
        <w:t>Major rejection risks</w:t>
      </w:r>
    </w:p>
    <w:p>
      <w:pPr>
        <w:spacing w:after="120" w:line="269" w:lineRule="auto"/>
      </w:pPr>
      <w:r>
        <w:t>1. [Critical] No empirical evidence supports the central effectiveness questions. The manuscript appropriately discloses this limitation, but a journal paper cannot be submitted with its Results section consisting of planned tables. Execute the experiment package in 01_project_and_experiment_audit.md before submission.</w:t>
      </w:r>
    </w:p>
    <w:p>
      <w:pPr>
        <w:spacing w:after="120" w:line="269" w:lineRule="auto"/>
      </w:pPr>
      <w:r>
        <w:t>2. [Critical] Novelty remains unproven against close systems. The current contribution is an implementation integration. Without a direct comparison against at least a deterministic OpenAPI baseline and a compatible established API-testing tool, a reviewer can reasonably view it as a routine engineering combination.</w:t>
      </w:r>
    </w:p>
    <w:p>
      <w:pPr>
        <w:spacing w:after="120" w:line="269" w:lineRule="auto"/>
      </w:pPr>
      <w:r>
        <w:t>3. [Critical] No ground-truth security evaluation exists. Passive warnings are not equivalent to valid findings. Establish a public, manually labeled seeded-condition ledger and report precision/recall by category.</w:t>
      </w:r>
    </w:p>
    <w:p>
      <w:pPr>
        <w:spacing w:after="120" w:line="269" w:lineRule="auto"/>
      </w:pPr>
      <w:r>
        <w:t>4. [Major] The target IEEE venue is unspecified. Scope, article length, template, anonymity, data/code policy, and AI-use disclosure cannot be finalized without the journal’s current author instructions.</w:t>
      </w:r>
    </w:p>
    <w:p>
      <w:pPr>
        <w:spacing w:after="120" w:line="269" w:lineRule="auto"/>
      </w:pPr>
      <w:r>
        <w:t>5. [Major] The closest agentic literature is not a valid basis for an agentic claim. The manuscript corrects this issue by explicitly excluding a multi-agent claim, but the title/abstract and future revisions must preserve that boundary.</w:t>
      </w:r>
    </w:p>
    <w:p>
      <w:pPr>
        <w:spacing w:after="120" w:line="269" w:lineRule="auto"/>
      </w:pPr>
      <w:r>
        <w:t>6. [Major] Experiment reproducibility is not yet an artifact. Frozen target versions, reset scripts, prompts, model identifiers, request budgets, seeds, baseline adapters, and redacted raw outputs are missing.</w:t>
      </w:r>
    </w:p>
    <w:p>
      <w:pPr>
        <w:pStyle w:val="Heading2"/>
        <w:spacing w:before="240" w:after="120"/>
      </w:pPr>
      <w:r>
        <w:t>Technical review</w:t>
      </w:r>
    </w:p>
    <w:p>
      <w:pPr>
        <w:pStyle w:val="ListBullet"/>
      </w:pPr>
      <w:r>
        <w:t>**Scope:** The systems-paper scope is plausible for a software-engineering or IEEE software venue, but target-fit cannot be assessed until a journal is named.</w:t>
      </w:r>
    </w:p>
    <w:p>
      <w:pPr>
        <w:pStyle w:val="ListBullet"/>
      </w:pPr>
      <w:r>
        <w:t>**Novelty:** The manuscript correctly avoids claiming that LLM API testing is new. Its potential contribution is the auditable constraint/execution/evidence integration. A contribution table contrasting AQUA with APITestGenie, AutoRestTest, RESTler, QuickREST, and EvoMaster is required after verifying feature support from primary sources.</w:t>
      </w:r>
    </w:p>
    <w:p>
      <w:pPr>
        <w:pStyle w:val="ListBullet"/>
      </w:pPr>
      <w:r>
        <w:t>**Validity:** The code supports the implementation description. Regression tests and frontend builds show project health, not testing effectiveness. Empty role modules make any multi-agent terminology invalid.</w:t>
      </w:r>
    </w:p>
    <w:p>
      <w:pPr>
        <w:pStyle w:val="ListBullet"/>
      </w:pPr>
      <w:r>
        <w:t>**Data and experiments:** No benchmark data or fair baselines are available. The proposed evaluation plan is appropriately claim-centered, but every reported number remains an experiment requirement.</w:t>
      </w:r>
    </w:p>
    <w:p>
      <w:pPr>
        <w:pStyle w:val="ListBullet"/>
      </w:pPr>
      <w:r>
        <w:t>**Clarity:** The manuscript has a clear implementation/evidence distinction and defines the API-testing boundary. The terminology “LLM-assisted,” “schema-constrained,” and “deterministic execution” should remain consistent in figures and tables.</w:t>
      </w:r>
    </w:p>
    <w:p>
      <w:pPr>
        <w:pStyle w:val="ListBullet"/>
      </w:pPr>
      <w:r>
        <w:t>**Compliance:** Data availability, author contributions, funding, conflict, and AI-use statements remain placeholders. Resolve them against the chosen venue policy. Use IEEE’s template and reference/PDF checking tools at finalization.</w:t>
      </w:r>
    </w:p>
    <w:p>
      <w:pPr>
        <w:pStyle w:val="ListBullet"/>
      </w:pPr>
      <w:r>
        <w:t>**Advancement:** The work can advance the field only if controlled evidence shows a useful trade-off relative to established approaches. An integrated product alone is unlikely to meet a technical-journal advancement threshold.</w:t>
      </w:r>
    </w:p>
    <w:p>
      <w:pPr>
        <w:pStyle w:val="Heading2"/>
        <w:spacing w:before="240" w:after="120"/>
      </w:pPr>
      <w:r>
        <w:t>Presentation review</w:t>
      </w:r>
    </w:p>
    <w:p>
      <w:pPr>
        <w:pStyle w:val="ListBullet"/>
      </w:pPr>
      <w:r>
        <w:t>**[Major]** The architecture and result figures are placeholders. Create a readable vector architecture diagram that separates the API workflow from the ancillary UI/RAG path.</w:t>
      </w:r>
    </w:p>
    <w:p>
      <w:pPr>
        <w:pStyle w:val="ListBullet"/>
      </w:pPr>
      <w:r>
        <w:t>**[Major]** No results tables exist. Do not create them until the experimental data and baseline protocols are fixed.</w:t>
      </w:r>
    </w:p>
    <w:p>
      <w:pPr>
        <w:pStyle w:val="ListBullet"/>
      </w:pPr>
      <w:r>
        <w:t>**[Minor]** Replace the anonymous header with the target journal’s author, affiliation, and corresponding-author format after double-blind requirements are known.</w:t>
      </w:r>
    </w:p>
    <w:p>
      <w:pPr>
        <w:pStyle w:val="ListBullet"/>
      </w:pPr>
      <w:r>
        <w:t>**[Minor]** Normalize the final bibliography from machine-extracted records using the target template; retain preprint labels where no archival publication is verified.</w:t>
      </w:r>
    </w:p>
    <w:p>
      <w:pPr>
        <w:pStyle w:val="Heading2"/>
        <w:spacing w:before="240" w:after="120"/>
      </w:pPr>
      <w:r>
        <w:t>Revision applied to this draft</w:t>
      </w:r>
    </w:p>
    <w:p>
      <w:pPr>
        <w:spacing w:after="120" w:line="269" w:lineRule="auto"/>
      </w:pPr>
      <w:r>
        <w:t>The manuscript has already been revised to address the risks that can be fixed without new data: it removes Digital TA and multi-agent claims, labels all absent results as [EXPERIMENT REQUIRED], narrows contributions to implemented mechanisms, separates the UI/RAG path from the API evaluation scope, and labels unresolved bibliographic/author-policy items. The Critical evidence gaps cannot be repaired through writing.</w:t>
      </w:r>
    </w:p>
    <w:p>
      <w:pPr>
        <w:pStyle w:val="Heading2"/>
        <w:spacing w:before="240" w:after="120"/>
      </w:pPr>
      <w:r>
        <w:t>Bounded decision posture</w:t>
      </w:r>
    </w:p>
    <w:p>
      <w:pPr>
        <w:spacing w:after="120" w:line="269" w:lineRule="auto"/>
      </w:pPr>
      <w:r>
        <w:t>The manuscript is a rigorous planning and systems-description draft, not a submission-ready empirical journal article. Its readiness depends on completing the Critical experiment, comparison, and reproducibility work above.</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AQUA journal paper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