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entornos nucleares los últimos avances dentro de ODS se están utilizando nuevos aceros reforzados con dispersión de óxidos para permitir un diseño seguro y económico de los reactores (</w:t>
      </w:r>
      <w:r w:rsidDel="00000000" w:rsidR="00000000" w:rsidRPr="00000000">
        <w:rPr>
          <w:sz w:val="28"/>
          <w:szCs w:val="28"/>
          <w:rtl w:val="0"/>
        </w:rPr>
        <w:t xml:space="preserve">ShigeharuUka and iMasayukiFujiwara , 2002)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 y como dicen (ShigeharuUka and iMasayukiFujiwara , 2002) “Los aceros reforzados con dispersión de óxidos (ODS) son la clase de materiales más prometedora con un potencial para ser utilizados a temperaturas elevadas en ambientes de exposición severa a neutrones”(pág 1).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desarrollo tecnológico líder de aceros ODS se ha llevado a cabo en el Instituto de Desarrollo del Ciclo Nuclear de Japón (JNC), haciendo especial hincapié en la aplicación de revestimiento de combustible para reactores rápidos.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nuevos materiales tienen unas propiedades que permiten trabajar a altas temperaturas permitiendo así más seguridad en el reactor.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Las partículas de óxido de Y2O3 se pueden controlar a escala nanométrica y las propiedades a alta temperatura se mejoraron notablemente mediante el control de la estructura límite del grano a escala atómica. El desarrollo de la tecnología ODS que se logra en el campo de los reactores rápidos debe hacerse girar efectivamente hacia la primera pared del reactor de fusión y cubrir los materiales estructurales para permitir un diseño seguro y económico del reactor.(ShigeharuUka and iMasayukiFujiwara , 2002)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Referencias: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ShigeharuUka and iMasayukiFujiwara ,( 2002)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Perspective of ODS alloys application in nuclear environments.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yk1hiaw9g7m6" w:id="0"/>
      <w:bookmarkEnd w:id="0"/>
      <w:r w:rsidDel="00000000" w:rsidR="00000000" w:rsidRPr="00000000">
        <w:rPr>
          <w:sz w:val="28"/>
          <w:szCs w:val="28"/>
          <w:rtl w:val="0"/>
        </w:rPr>
        <w:t xml:space="preserve">Journal of Nuclear Materials(1)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color w:val="1155cc"/>
          <w:sz w:val="28"/>
          <w:szCs w:val="28"/>
          <w:u w:val="single"/>
        </w:rPr>
      </w:pPr>
      <w:bookmarkStart w:colFirst="0" w:colLast="0" w:name="_rvydy71vdv6a" w:id="1"/>
      <w:bookmarkEnd w:id="1"/>
      <w:r w:rsidDel="00000000" w:rsidR="00000000" w:rsidRPr="00000000">
        <w:rPr>
          <w:sz w:val="28"/>
          <w:szCs w:val="28"/>
          <w:rtl w:val="0"/>
        </w:rPr>
        <w:t xml:space="preserve">https://www.sciencedirect.com/science/article/pii/S0022311502010437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