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1750BC">
      <w:pPr>
        <w:rPr>
          <w:rFonts w:ascii="仿宋_GB2312" w:eastAsia="仿宋_GB2312"/>
          <w:b/>
          <w:bCs/>
          <w:sz w:val="72"/>
          <w:szCs w:val="72"/>
        </w:rPr>
      </w:pPr>
      <w:r>
        <w:rPr>
          <w:rFonts w:hint="eastAsia" w:ascii="仿宋_GB2312" w:eastAsia="仿宋_GB2312" w:cs="仿宋_GB2312"/>
          <w:b/>
          <w:bCs/>
          <w:sz w:val="28"/>
          <w:szCs w:val="28"/>
        </w:rPr>
        <w:t>课程编号：</w:t>
      </w:r>
    </w:p>
    <w:p w14:paraId="7D6D5C7C">
      <w:pPr>
        <w:jc w:val="center"/>
        <w:rPr>
          <w:rFonts w:hint="eastAsia" w:ascii="仿宋_GB2312" w:eastAsia="仿宋_GB2312" w:cs="仿宋_GB2312"/>
          <w:b/>
          <w:bCs/>
          <w:sz w:val="72"/>
          <w:szCs w:val="72"/>
        </w:rPr>
      </w:pPr>
    </w:p>
    <w:p w14:paraId="7DF653E0">
      <w:pPr>
        <w:jc w:val="center"/>
        <w:rPr>
          <w:rFonts w:hint="eastAsia" w:ascii="仿宋_GB2312" w:eastAsia="仿宋_GB2312" w:cs="仿宋_GB2312"/>
          <w:b/>
          <w:bCs/>
          <w:sz w:val="72"/>
          <w:szCs w:val="72"/>
        </w:rPr>
      </w:pPr>
    </w:p>
    <w:p w14:paraId="0F811DC8">
      <w:pPr>
        <w:jc w:val="center"/>
        <w:rPr>
          <w:rFonts w:hint="default" w:ascii="仿宋_GB2312" w:eastAsia="仿宋_GB2312"/>
          <w:b/>
          <w:bCs/>
          <w:sz w:val="72"/>
          <w:szCs w:val="72"/>
          <w:lang w:val="en-US" w:eastAsia="zh-CN"/>
        </w:rPr>
      </w:pPr>
      <w:r>
        <w:rPr>
          <w:rFonts w:hint="eastAsia" w:ascii="仿宋_GB2312" w:eastAsia="仿宋_GB2312" w:cs="仿宋_GB2312"/>
          <w:b/>
          <w:bCs/>
          <w:sz w:val="72"/>
          <w:szCs w:val="72"/>
          <w:lang w:eastAsia="zh-CN"/>
        </w:rPr>
        <w:t>《</w:t>
      </w:r>
      <w:r>
        <w:rPr>
          <w:rFonts w:hint="eastAsia" w:ascii="仿宋_GB2312" w:eastAsia="仿宋_GB2312" w:cs="仿宋_GB2312"/>
          <w:b/>
          <w:bCs/>
          <w:sz w:val="72"/>
          <w:szCs w:val="72"/>
        </w:rPr>
        <w:t>开源</w:t>
      </w:r>
      <w:r>
        <w:rPr>
          <w:rFonts w:hint="eastAsia" w:ascii="仿宋_GB2312" w:eastAsia="仿宋_GB2312" w:cs="仿宋_GB2312"/>
          <w:b/>
          <w:bCs/>
          <w:sz w:val="72"/>
          <w:szCs w:val="72"/>
          <w:lang w:val="en-US" w:eastAsia="zh-CN"/>
        </w:rPr>
        <w:t>创新思维》</w:t>
      </w:r>
    </w:p>
    <w:p w14:paraId="67604145">
      <w:pPr>
        <w:jc w:val="center"/>
        <w:rPr>
          <w:rFonts w:ascii="仿宋_GB2312" w:eastAsia="仿宋_GB2312"/>
          <w:b/>
          <w:bCs/>
          <w:sz w:val="72"/>
          <w:szCs w:val="72"/>
        </w:rPr>
      </w:pPr>
      <w:r>
        <w:rPr>
          <w:rFonts w:hint="eastAsia" w:ascii="仿宋_GB2312" w:eastAsia="仿宋_GB2312" w:cs="仿宋_GB2312"/>
          <w:b/>
          <w:bCs/>
          <w:sz w:val="72"/>
          <w:szCs w:val="72"/>
        </w:rPr>
        <w:t>平时作业报告</w:t>
      </w:r>
    </w:p>
    <w:p w14:paraId="72B4D612">
      <w:pPr>
        <w:jc w:val="center"/>
        <w:rPr>
          <w:rFonts w:ascii="仿宋_GB2312" w:eastAsia="仿宋_GB2312"/>
          <w:b/>
          <w:bCs/>
          <w:sz w:val="52"/>
          <w:szCs w:val="52"/>
        </w:rPr>
      </w:pPr>
    </w:p>
    <w:p w14:paraId="1E8560DC">
      <w:pPr>
        <w:jc w:val="center"/>
        <w:rPr>
          <w:rFonts w:ascii="宋体"/>
          <w:sz w:val="28"/>
          <w:szCs w:val="28"/>
        </w:rPr>
      </w:pPr>
    </w:p>
    <w:p w14:paraId="1E615644">
      <w:pPr>
        <w:jc w:val="center"/>
        <w:rPr>
          <w:rFonts w:ascii="宋体"/>
          <w:sz w:val="28"/>
          <w:szCs w:val="28"/>
        </w:rPr>
      </w:pPr>
    </w:p>
    <w:p w14:paraId="27E03F4E">
      <w:pPr>
        <w:jc w:val="center"/>
        <w:rPr>
          <w:rFonts w:ascii="宋体"/>
          <w:sz w:val="28"/>
          <w:szCs w:val="28"/>
        </w:rPr>
      </w:pPr>
    </w:p>
    <w:p w14:paraId="0CE85110">
      <w:pPr>
        <w:jc w:val="center"/>
        <w:rPr>
          <w:rFonts w:ascii="宋体"/>
          <w:sz w:val="28"/>
          <w:szCs w:val="28"/>
        </w:rPr>
      </w:pPr>
    </w:p>
    <w:p w14:paraId="1C97CF4E">
      <w:pPr>
        <w:jc w:val="center"/>
        <w:rPr>
          <w:rFonts w:ascii="宋体"/>
          <w:sz w:val="28"/>
          <w:szCs w:val="28"/>
        </w:rPr>
      </w:pPr>
    </w:p>
    <w:p w14:paraId="7DE1962F">
      <w:pPr>
        <w:rPr>
          <w:rFonts w:ascii="仿宋_GB2312" w:eastAsia="仿宋_GB2312"/>
        </w:rPr>
      </w:pPr>
    </w:p>
    <w:p w14:paraId="08818189">
      <w:pPr>
        <w:rPr>
          <w:rFonts w:ascii="仿宋_GB2312" w:eastAsia="仿宋_GB2312"/>
        </w:rPr>
      </w:pPr>
    </w:p>
    <w:p w14:paraId="6B531FE3">
      <w:pPr>
        <w:rPr>
          <w:rFonts w:ascii="仿宋_GB2312" w:eastAsia="仿宋_GB2312"/>
        </w:rPr>
      </w:pPr>
    </w:p>
    <w:p w14:paraId="6EFB2D5D">
      <w:pPr>
        <w:rPr>
          <w:rFonts w:ascii="仿宋_GB2312" w:eastAsia="仿宋_GB2312"/>
        </w:rPr>
      </w:pPr>
    </w:p>
    <w:tbl>
      <w:tblPr>
        <w:tblStyle w:val="6"/>
        <w:tblW w:w="793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61"/>
        <w:gridCol w:w="1594"/>
        <w:gridCol w:w="56"/>
        <w:gridCol w:w="2145"/>
        <w:gridCol w:w="2183"/>
      </w:tblGrid>
      <w:tr w14:paraId="04EF76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  <w:jc w:val="center"/>
        </w:trPr>
        <w:tc>
          <w:tcPr>
            <w:tcW w:w="1961" w:type="dxa"/>
            <w:vAlign w:val="center"/>
          </w:tcPr>
          <w:p w14:paraId="35084A30">
            <w:pPr>
              <w:jc w:val="distribute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姓</w:t>
            </w:r>
            <w:r>
              <w:rPr>
                <w:rFonts w:ascii="仿宋" w:hAnsi="仿宋" w:eastAsia="仿宋" w:cs="仿宋"/>
                <w:b/>
                <w:bCs/>
                <w:sz w:val="24"/>
                <w:szCs w:val="24"/>
              </w:rPr>
              <w:t xml:space="preserve">        </w:t>
            </w: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名</w:t>
            </w:r>
          </w:p>
        </w:tc>
        <w:tc>
          <w:tcPr>
            <w:tcW w:w="1594" w:type="dxa"/>
            <w:vAlign w:val="center"/>
          </w:tcPr>
          <w:p w14:paraId="1A12E197">
            <w:pPr>
              <w:jc w:val="center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马天航</w:t>
            </w:r>
          </w:p>
        </w:tc>
        <w:tc>
          <w:tcPr>
            <w:tcW w:w="2201" w:type="dxa"/>
            <w:gridSpan w:val="2"/>
            <w:vAlign w:val="center"/>
          </w:tcPr>
          <w:p w14:paraId="616522A3">
            <w:pPr>
              <w:jc w:val="right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pacing w:val="30"/>
                <w:kern w:val="0"/>
                <w:sz w:val="24"/>
                <w:szCs w:val="24"/>
              </w:rPr>
              <w:t>学</w:t>
            </w:r>
            <w:r>
              <w:rPr>
                <w:rFonts w:ascii="仿宋" w:hAnsi="仿宋" w:eastAsia="仿宋" w:cs="仿宋"/>
                <w:b/>
                <w:bCs/>
                <w:spacing w:val="30"/>
                <w:kern w:val="0"/>
                <w:sz w:val="24"/>
                <w:szCs w:val="24"/>
              </w:rPr>
              <w:t xml:space="preserve">       </w:t>
            </w:r>
            <w:r>
              <w:rPr>
                <w:rFonts w:hint="eastAsia" w:ascii="仿宋" w:hAnsi="仿宋" w:eastAsia="仿宋" w:cs="仿宋"/>
                <w:b/>
                <w:bCs/>
                <w:spacing w:val="45"/>
                <w:kern w:val="0"/>
                <w:sz w:val="24"/>
                <w:szCs w:val="24"/>
              </w:rPr>
              <w:t>号</w:t>
            </w:r>
          </w:p>
        </w:tc>
        <w:tc>
          <w:tcPr>
            <w:tcW w:w="2183" w:type="dxa"/>
            <w:vAlign w:val="center"/>
          </w:tcPr>
          <w:p w14:paraId="7FEEBDAC">
            <w:pPr>
              <w:jc w:val="center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f25016535</w:t>
            </w:r>
          </w:p>
        </w:tc>
      </w:tr>
      <w:tr w14:paraId="66C5B1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  <w:jc w:val="center"/>
        </w:trPr>
        <w:tc>
          <w:tcPr>
            <w:tcW w:w="1961" w:type="dxa"/>
            <w:vAlign w:val="center"/>
          </w:tcPr>
          <w:p w14:paraId="719C5919">
            <w:pPr>
              <w:wordWrap w:val="0"/>
              <w:jc w:val="distribute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班</w:t>
            </w:r>
            <w:r>
              <w:rPr>
                <w:rFonts w:ascii="仿宋" w:hAnsi="仿宋" w:eastAsia="仿宋" w:cs="仿宋"/>
                <w:b/>
                <w:bCs/>
                <w:sz w:val="24"/>
                <w:szCs w:val="24"/>
              </w:rPr>
              <w:t xml:space="preserve">        </w:t>
            </w: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级</w:t>
            </w:r>
          </w:p>
        </w:tc>
        <w:tc>
          <w:tcPr>
            <w:tcW w:w="1594" w:type="dxa"/>
            <w:vAlign w:val="center"/>
          </w:tcPr>
          <w:p w14:paraId="1612FE55">
            <w:pPr>
              <w:jc w:val="center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f250117</w:t>
            </w:r>
          </w:p>
        </w:tc>
        <w:tc>
          <w:tcPr>
            <w:tcW w:w="2201" w:type="dxa"/>
            <w:gridSpan w:val="2"/>
            <w:vAlign w:val="center"/>
          </w:tcPr>
          <w:p w14:paraId="71B3CC3B">
            <w:pPr>
              <w:jc w:val="right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pacing w:val="50"/>
                <w:kern w:val="0"/>
                <w:sz w:val="24"/>
                <w:szCs w:val="24"/>
              </w:rPr>
              <w:t>指</w:t>
            </w:r>
            <w:r>
              <w:rPr>
                <w:rFonts w:ascii="仿宋" w:hAnsi="仿宋" w:eastAsia="仿宋" w:cs="仿宋"/>
                <w:b/>
                <w:bCs/>
                <w:spacing w:val="50"/>
                <w:kern w:val="0"/>
                <w:sz w:val="24"/>
                <w:szCs w:val="24"/>
              </w:rPr>
              <w:t xml:space="preserve"> </w:t>
            </w:r>
            <w:r>
              <w:rPr>
                <w:rFonts w:hint="eastAsia" w:ascii="仿宋" w:hAnsi="仿宋" w:eastAsia="仿宋" w:cs="仿宋"/>
                <w:b/>
                <w:bCs/>
                <w:spacing w:val="50"/>
                <w:kern w:val="0"/>
                <w:sz w:val="24"/>
                <w:szCs w:val="24"/>
              </w:rPr>
              <w:t>导</w:t>
            </w:r>
            <w:r>
              <w:rPr>
                <w:rFonts w:ascii="仿宋" w:hAnsi="仿宋" w:eastAsia="仿宋" w:cs="仿宋"/>
                <w:b/>
                <w:bCs/>
                <w:spacing w:val="50"/>
                <w:kern w:val="0"/>
                <w:sz w:val="24"/>
                <w:szCs w:val="24"/>
              </w:rPr>
              <w:t xml:space="preserve"> </w:t>
            </w:r>
            <w:r>
              <w:rPr>
                <w:rFonts w:hint="eastAsia" w:ascii="仿宋" w:hAnsi="仿宋" w:eastAsia="仿宋" w:cs="仿宋"/>
                <w:b/>
                <w:bCs/>
                <w:spacing w:val="50"/>
                <w:kern w:val="0"/>
                <w:sz w:val="24"/>
                <w:szCs w:val="24"/>
              </w:rPr>
              <w:t>教</w:t>
            </w:r>
            <w:r>
              <w:rPr>
                <w:rFonts w:ascii="仿宋" w:hAnsi="仿宋" w:eastAsia="仿宋" w:cs="仿宋"/>
                <w:b/>
                <w:bCs/>
                <w:spacing w:val="50"/>
                <w:kern w:val="0"/>
                <w:sz w:val="24"/>
                <w:szCs w:val="24"/>
              </w:rPr>
              <w:t xml:space="preserve"> </w:t>
            </w:r>
            <w:r>
              <w:rPr>
                <w:rFonts w:hint="eastAsia" w:ascii="仿宋" w:hAnsi="仿宋" w:eastAsia="仿宋" w:cs="仿宋"/>
                <w:b/>
                <w:bCs/>
                <w:spacing w:val="1"/>
                <w:kern w:val="0"/>
                <w:sz w:val="24"/>
                <w:szCs w:val="24"/>
              </w:rPr>
              <w:t>师</w:t>
            </w:r>
          </w:p>
        </w:tc>
        <w:tc>
          <w:tcPr>
            <w:tcW w:w="2183" w:type="dxa"/>
            <w:vAlign w:val="center"/>
          </w:tcPr>
          <w:p w14:paraId="19AEECF8">
            <w:pPr>
              <w:jc w:val="center"/>
              <w:rPr>
                <w:rFonts w:hint="eastAsia" w:ascii="仿宋" w:hAnsi="仿宋" w:eastAsia="仿宋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祝欣蓉</w:t>
            </w:r>
          </w:p>
        </w:tc>
      </w:tr>
      <w:tr w14:paraId="42BD8C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3" w:hRule="atLeast"/>
          <w:jc w:val="center"/>
        </w:trPr>
        <w:tc>
          <w:tcPr>
            <w:tcW w:w="1961" w:type="dxa"/>
            <w:vAlign w:val="center"/>
          </w:tcPr>
          <w:p w14:paraId="49391E54">
            <w:pPr>
              <w:jc w:val="distribute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开</w:t>
            </w:r>
            <w:r>
              <w:rPr>
                <w:rFonts w:ascii="仿宋" w:hAnsi="仿宋" w:eastAsia="仿宋" w:cs="仿宋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设</w:t>
            </w:r>
            <w:r>
              <w:rPr>
                <w:rFonts w:ascii="仿宋" w:hAnsi="仿宋" w:eastAsia="仿宋" w:cs="仿宋"/>
                <w:b/>
                <w:bCs/>
                <w:sz w:val="24"/>
                <w:szCs w:val="24"/>
              </w:rPr>
              <w:t xml:space="preserve">  </w:t>
            </w: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学</w:t>
            </w:r>
            <w:r>
              <w:rPr>
                <w:rFonts w:ascii="仿宋" w:hAnsi="仿宋" w:eastAsia="仿宋" w:cs="仿宋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期</w:t>
            </w:r>
          </w:p>
        </w:tc>
        <w:tc>
          <w:tcPr>
            <w:tcW w:w="5978" w:type="dxa"/>
            <w:gridSpan w:val="4"/>
            <w:vAlign w:val="center"/>
          </w:tcPr>
          <w:p w14:paraId="2F4D4785">
            <w:pPr>
              <w:jc w:val="center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51"/>
                <w:kern w:val="0"/>
                <w:sz w:val="24"/>
                <w:szCs w:val="24"/>
                <w:fitText w:val="2892" w:id="1715366501"/>
              </w:rPr>
              <w:t>20</w:t>
            </w:r>
            <w:r>
              <w:rPr>
                <w:rFonts w:hint="eastAsia" w:ascii="仿宋" w:hAnsi="仿宋" w:eastAsia="仿宋" w:cs="仿宋"/>
                <w:b/>
                <w:bCs/>
                <w:spacing w:val="51"/>
                <w:kern w:val="0"/>
                <w:sz w:val="24"/>
                <w:szCs w:val="24"/>
                <w:fitText w:val="2892" w:id="1715366501"/>
                <w:lang w:val="en-US" w:eastAsia="zh-CN"/>
              </w:rPr>
              <w:t>26</w:t>
            </w:r>
            <w:r>
              <w:rPr>
                <w:rFonts w:ascii="仿宋" w:hAnsi="仿宋" w:eastAsia="仿宋" w:cs="仿宋"/>
                <w:b/>
                <w:bCs/>
                <w:spacing w:val="51"/>
                <w:kern w:val="0"/>
                <w:sz w:val="24"/>
                <w:szCs w:val="24"/>
                <w:fitText w:val="2892" w:id="1715366501"/>
              </w:rPr>
              <w:t>-20</w:t>
            </w:r>
            <w:r>
              <w:rPr>
                <w:rFonts w:hint="eastAsia" w:ascii="仿宋" w:hAnsi="仿宋" w:eastAsia="仿宋" w:cs="仿宋"/>
                <w:b/>
                <w:bCs/>
                <w:spacing w:val="51"/>
                <w:kern w:val="0"/>
                <w:sz w:val="24"/>
                <w:szCs w:val="24"/>
                <w:fitText w:val="2892" w:id="1715366501"/>
                <w:lang w:val="en-US" w:eastAsia="zh-CN"/>
              </w:rPr>
              <w:t>27</w:t>
            </w:r>
            <w:r>
              <w:rPr>
                <w:rFonts w:hint="eastAsia" w:ascii="仿宋" w:hAnsi="仿宋" w:eastAsia="仿宋" w:cs="仿宋"/>
                <w:b/>
                <w:bCs/>
                <w:spacing w:val="51"/>
                <w:kern w:val="0"/>
                <w:sz w:val="24"/>
                <w:szCs w:val="24"/>
                <w:fitText w:val="2892" w:id="1715366501"/>
              </w:rPr>
              <w:t>秋季学</w:t>
            </w:r>
            <w:r>
              <w:rPr>
                <w:rFonts w:hint="eastAsia" w:ascii="仿宋" w:hAnsi="仿宋" w:eastAsia="仿宋" w:cs="仿宋"/>
                <w:b/>
                <w:bCs/>
                <w:spacing w:val="0"/>
                <w:kern w:val="0"/>
                <w:sz w:val="24"/>
                <w:szCs w:val="24"/>
                <w:fitText w:val="2892" w:id="1715366501"/>
              </w:rPr>
              <w:t>期</w:t>
            </w:r>
          </w:p>
        </w:tc>
      </w:tr>
      <w:tr w14:paraId="3CAFD9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  <w:jc w:val="center"/>
        </w:trPr>
        <w:tc>
          <w:tcPr>
            <w:tcW w:w="1961" w:type="dxa"/>
            <w:vAlign w:val="center"/>
          </w:tcPr>
          <w:p w14:paraId="7CBDA2F8">
            <w:pPr>
              <w:jc w:val="distribute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开</w:t>
            </w:r>
            <w:r>
              <w:rPr>
                <w:rFonts w:ascii="仿宋" w:hAnsi="仿宋" w:eastAsia="仿宋" w:cs="仿宋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设</w:t>
            </w:r>
            <w:r>
              <w:rPr>
                <w:rFonts w:ascii="仿宋" w:hAnsi="仿宋" w:eastAsia="仿宋" w:cs="仿宋"/>
                <w:b/>
                <w:bCs/>
                <w:sz w:val="24"/>
                <w:szCs w:val="24"/>
              </w:rPr>
              <w:t xml:space="preserve">  </w:t>
            </w: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时</w:t>
            </w:r>
            <w:r>
              <w:rPr>
                <w:rFonts w:ascii="仿宋" w:hAnsi="仿宋" w:eastAsia="仿宋" w:cs="仿宋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间</w:t>
            </w:r>
          </w:p>
        </w:tc>
        <w:tc>
          <w:tcPr>
            <w:tcW w:w="5978" w:type="dxa"/>
            <w:gridSpan w:val="4"/>
            <w:vAlign w:val="center"/>
          </w:tcPr>
          <w:p w14:paraId="1221FB3C">
            <w:pPr>
              <w:jc w:val="center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pacing w:val="65"/>
                <w:kern w:val="0"/>
                <w:sz w:val="24"/>
                <w:szCs w:val="24"/>
                <w:fitText w:val="2892" w:id="1"/>
              </w:rPr>
              <w:t>第</w:t>
            </w:r>
            <w:r>
              <w:rPr>
                <w:rFonts w:hint="eastAsia" w:ascii="仿宋" w:hAnsi="仿宋" w:eastAsia="仿宋" w:cs="仿宋"/>
                <w:b/>
                <w:bCs/>
                <w:spacing w:val="65"/>
                <w:kern w:val="0"/>
                <w:sz w:val="24"/>
                <w:szCs w:val="24"/>
                <w:fitText w:val="2892" w:id="1"/>
                <w:lang w:val="en-US" w:eastAsia="zh-CN"/>
              </w:rPr>
              <w:t>1</w:t>
            </w:r>
            <w:r>
              <w:rPr>
                <w:rFonts w:hint="eastAsia" w:ascii="仿宋" w:hAnsi="仿宋" w:eastAsia="仿宋" w:cs="仿宋"/>
                <w:b/>
                <w:bCs/>
                <w:spacing w:val="65"/>
                <w:kern w:val="0"/>
                <w:sz w:val="24"/>
                <w:szCs w:val="24"/>
                <w:fitText w:val="2892" w:id="1"/>
              </w:rPr>
              <w:t>周</w:t>
            </w:r>
            <w:r>
              <w:rPr>
                <w:rFonts w:ascii="仿宋" w:hAnsi="仿宋" w:eastAsia="仿宋" w:cs="仿宋"/>
                <w:b/>
                <w:bCs/>
                <w:spacing w:val="65"/>
                <w:kern w:val="0"/>
                <w:sz w:val="24"/>
                <w:szCs w:val="24"/>
                <w:fitText w:val="2892" w:id="1"/>
              </w:rPr>
              <w:t>——</w:t>
            </w:r>
            <w:r>
              <w:rPr>
                <w:rFonts w:hint="eastAsia" w:ascii="仿宋" w:hAnsi="仿宋" w:eastAsia="仿宋" w:cs="仿宋"/>
                <w:b/>
                <w:bCs/>
                <w:spacing w:val="65"/>
                <w:kern w:val="0"/>
                <w:sz w:val="24"/>
                <w:szCs w:val="24"/>
                <w:fitText w:val="2892" w:id="1"/>
              </w:rPr>
              <w:t>第</w:t>
            </w:r>
            <w:r>
              <w:rPr>
                <w:rFonts w:hint="eastAsia" w:ascii="仿宋" w:hAnsi="仿宋" w:eastAsia="仿宋" w:cs="仿宋"/>
                <w:b/>
                <w:bCs/>
                <w:spacing w:val="65"/>
                <w:kern w:val="0"/>
                <w:sz w:val="24"/>
                <w:szCs w:val="24"/>
                <w:fitText w:val="2892" w:id="1"/>
                <w:lang w:val="en-US" w:eastAsia="zh-CN"/>
              </w:rPr>
              <w:t>16</w:t>
            </w:r>
            <w:bookmarkStart w:id="0" w:name="_GoBack"/>
            <w:bookmarkEnd w:id="0"/>
            <w:r>
              <w:rPr>
                <w:rFonts w:hint="eastAsia" w:ascii="仿宋" w:hAnsi="仿宋" w:eastAsia="仿宋" w:cs="仿宋"/>
                <w:b/>
                <w:bCs/>
                <w:spacing w:val="3"/>
                <w:kern w:val="0"/>
                <w:sz w:val="24"/>
                <w:szCs w:val="24"/>
                <w:fitText w:val="2892" w:id="1"/>
              </w:rPr>
              <w:t>周</w:t>
            </w:r>
          </w:p>
        </w:tc>
      </w:tr>
      <w:tr w14:paraId="51E739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3" w:hRule="atLeast"/>
          <w:jc w:val="center"/>
        </w:trPr>
        <w:tc>
          <w:tcPr>
            <w:tcW w:w="1961" w:type="dxa"/>
            <w:vAlign w:val="center"/>
          </w:tcPr>
          <w:p w14:paraId="4127BB84">
            <w:pPr>
              <w:wordWrap w:val="0"/>
              <w:jc w:val="distribute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报告日期</w:t>
            </w:r>
          </w:p>
        </w:tc>
        <w:tc>
          <w:tcPr>
            <w:tcW w:w="5978" w:type="dxa"/>
            <w:gridSpan w:val="4"/>
            <w:vAlign w:val="center"/>
          </w:tcPr>
          <w:p w14:paraId="2C519C55">
            <w:pPr>
              <w:jc w:val="center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</w:p>
        </w:tc>
      </w:tr>
      <w:tr w14:paraId="4D61B3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32" w:hRule="atLeast"/>
          <w:jc w:val="center"/>
        </w:trPr>
        <w:tc>
          <w:tcPr>
            <w:tcW w:w="1961" w:type="dxa"/>
            <w:vMerge w:val="restart"/>
            <w:vAlign w:val="center"/>
          </w:tcPr>
          <w:p w14:paraId="2E95CE6D">
            <w:pPr>
              <w:jc w:val="distribute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评</w:t>
            </w:r>
            <w:r>
              <w:rPr>
                <w:rFonts w:ascii="仿宋" w:hAnsi="仿宋" w:eastAsia="仿宋" w:cs="仿宋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定</w:t>
            </w:r>
            <w:r>
              <w:rPr>
                <w:rFonts w:ascii="仿宋" w:hAnsi="仿宋" w:eastAsia="仿宋" w:cs="仿宋"/>
                <w:b/>
                <w:bCs/>
                <w:sz w:val="24"/>
                <w:szCs w:val="24"/>
              </w:rPr>
              <w:t xml:space="preserve">  </w:t>
            </w: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成</w:t>
            </w:r>
            <w:r>
              <w:rPr>
                <w:rFonts w:ascii="仿宋" w:hAnsi="仿宋" w:eastAsia="仿宋" w:cs="仿宋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绩</w:t>
            </w:r>
          </w:p>
        </w:tc>
        <w:tc>
          <w:tcPr>
            <w:tcW w:w="1650" w:type="dxa"/>
            <w:gridSpan w:val="2"/>
            <w:vMerge w:val="restart"/>
            <w:vAlign w:val="center"/>
          </w:tcPr>
          <w:p w14:paraId="441CE6CB">
            <w:pPr>
              <w:jc w:val="center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</w:p>
        </w:tc>
        <w:tc>
          <w:tcPr>
            <w:tcW w:w="2145" w:type="dxa"/>
            <w:vAlign w:val="center"/>
          </w:tcPr>
          <w:p w14:paraId="23CEC041">
            <w:pPr>
              <w:jc w:val="right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pacing w:val="302"/>
                <w:kern w:val="0"/>
                <w:sz w:val="24"/>
                <w:szCs w:val="24"/>
                <w:fitText w:val="1928" w:id="2"/>
              </w:rPr>
              <w:t>评定</w:t>
            </w:r>
            <w:r>
              <w:rPr>
                <w:rFonts w:hint="eastAsia" w:ascii="仿宋" w:hAnsi="仿宋" w:eastAsia="仿宋" w:cs="仿宋"/>
                <w:b/>
                <w:bCs/>
                <w:spacing w:val="0"/>
                <w:kern w:val="0"/>
                <w:sz w:val="24"/>
                <w:szCs w:val="24"/>
                <w:fitText w:val="1928" w:id="2"/>
              </w:rPr>
              <w:t>人</w:t>
            </w:r>
          </w:p>
        </w:tc>
        <w:tc>
          <w:tcPr>
            <w:tcW w:w="2183" w:type="dxa"/>
            <w:vAlign w:val="center"/>
          </w:tcPr>
          <w:p w14:paraId="4DB25488">
            <w:pPr>
              <w:jc w:val="center"/>
              <w:rPr>
                <w:rFonts w:hint="eastAsia" w:ascii="仿宋" w:hAnsi="仿宋" w:eastAsia="仿宋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祝欣蓉</w:t>
            </w:r>
          </w:p>
        </w:tc>
      </w:tr>
      <w:tr w14:paraId="48668C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32" w:hRule="atLeast"/>
          <w:jc w:val="center"/>
        </w:trPr>
        <w:tc>
          <w:tcPr>
            <w:tcW w:w="1961" w:type="dxa"/>
            <w:vMerge w:val="continue"/>
            <w:vAlign w:val="center"/>
          </w:tcPr>
          <w:p w14:paraId="383DB938">
            <w:pPr>
              <w:jc w:val="right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</w:p>
        </w:tc>
        <w:tc>
          <w:tcPr>
            <w:tcW w:w="1650" w:type="dxa"/>
            <w:gridSpan w:val="2"/>
            <w:vMerge w:val="continue"/>
            <w:vAlign w:val="center"/>
          </w:tcPr>
          <w:p w14:paraId="32F758F6">
            <w:pPr>
              <w:jc w:val="center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</w:p>
        </w:tc>
        <w:tc>
          <w:tcPr>
            <w:tcW w:w="2145" w:type="dxa"/>
            <w:vAlign w:val="center"/>
          </w:tcPr>
          <w:p w14:paraId="561C9102">
            <w:pPr>
              <w:jc w:val="center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pacing w:val="50"/>
                <w:kern w:val="0"/>
                <w:sz w:val="24"/>
                <w:szCs w:val="24"/>
                <w:fitText w:val="1928" w:id="3"/>
              </w:rPr>
              <w:t>评</w:t>
            </w:r>
            <w:r>
              <w:rPr>
                <w:rFonts w:ascii="仿宋" w:hAnsi="仿宋" w:eastAsia="仿宋" w:cs="仿宋"/>
                <w:b/>
                <w:bCs/>
                <w:spacing w:val="50"/>
                <w:kern w:val="0"/>
                <w:sz w:val="24"/>
                <w:szCs w:val="24"/>
                <w:fitText w:val="1928" w:id="3"/>
              </w:rPr>
              <w:t xml:space="preserve"> </w:t>
            </w:r>
            <w:r>
              <w:rPr>
                <w:rFonts w:hint="eastAsia" w:ascii="仿宋" w:hAnsi="仿宋" w:eastAsia="仿宋" w:cs="仿宋"/>
                <w:b/>
                <w:bCs/>
                <w:spacing w:val="50"/>
                <w:kern w:val="0"/>
                <w:sz w:val="24"/>
                <w:szCs w:val="24"/>
                <w:fitText w:val="1928" w:id="3"/>
              </w:rPr>
              <w:t>定</w:t>
            </w:r>
            <w:r>
              <w:rPr>
                <w:rFonts w:ascii="仿宋" w:hAnsi="仿宋" w:eastAsia="仿宋" w:cs="仿宋"/>
                <w:b/>
                <w:bCs/>
                <w:spacing w:val="50"/>
                <w:kern w:val="0"/>
                <w:sz w:val="24"/>
                <w:szCs w:val="24"/>
                <w:fitText w:val="1928" w:id="3"/>
              </w:rPr>
              <w:t xml:space="preserve"> </w:t>
            </w:r>
            <w:r>
              <w:rPr>
                <w:rFonts w:hint="eastAsia" w:ascii="仿宋" w:hAnsi="仿宋" w:eastAsia="仿宋" w:cs="仿宋"/>
                <w:b/>
                <w:bCs/>
                <w:spacing w:val="50"/>
                <w:kern w:val="0"/>
                <w:sz w:val="24"/>
                <w:szCs w:val="24"/>
                <w:fitText w:val="1928" w:id="3"/>
              </w:rPr>
              <w:t>日</w:t>
            </w:r>
            <w:r>
              <w:rPr>
                <w:rFonts w:ascii="仿宋" w:hAnsi="仿宋" w:eastAsia="仿宋" w:cs="仿宋"/>
                <w:b/>
                <w:bCs/>
                <w:spacing w:val="50"/>
                <w:kern w:val="0"/>
                <w:sz w:val="24"/>
                <w:szCs w:val="24"/>
                <w:fitText w:val="1928" w:id="3"/>
              </w:rPr>
              <w:t xml:space="preserve"> </w:t>
            </w:r>
            <w:r>
              <w:rPr>
                <w:rFonts w:hint="eastAsia" w:ascii="仿宋" w:hAnsi="仿宋" w:eastAsia="仿宋" w:cs="仿宋"/>
                <w:b/>
                <w:bCs/>
                <w:spacing w:val="4"/>
                <w:kern w:val="0"/>
                <w:sz w:val="24"/>
                <w:szCs w:val="24"/>
                <w:fitText w:val="1928" w:id="3"/>
              </w:rPr>
              <w:t>期</w:t>
            </w:r>
          </w:p>
        </w:tc>
        <w:tc>
          <w:tcPr>
            <w:tcW w:w="2183" w:type="dxa"/>
            <w:vAlign w:val="center"/>
          </w:tcPr>
          <w:p w14:paraId="20F3EA0C">
            <w:pPr>
              <w:jc w:val="center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</w:p>
        </w:tc>
      </w:tr>
    </w:tbl>
    <w:p w14:paraId="212ACDEC">
      <w:pPr>
        <w:widowControl/>
        <w:jc w:val="center"/>
        <w:rPr>
          <w:rFonts w:ascii="仿宋_GB2312" w:hAnsi="宋体" w:eastAsia="仿宋_GB2312"/>
          <w:b/>
          <w:bCs/>
          <w:sz w:val="28"/>
          <w:szCs w:val="28"/>
        </w:rPr>
      </w:pPr>
    </w:p>
    <w:p w14:paraId="389FC1C7">
      <w:pPr>
        <w:widowControl/>
        <w:jc w:val="center"/>
        <w:rPr>
          <w:rFonts w:ascii="仿宋_GB2312" w:hAnsi="宋体" w:eastAsia="仿宋_GB2312"/>
          <w:b/>
          <w:bCs/>
          <w:sz w:val="24"/>
          <w:szCs w:val="24"/>
        </w:rPr>
      </w:pPr>
      <w:r>
        <w:rPr>
          <w:rFonts w:hint="eastAsia" w:ascii="仿宋_GB2312" w:hAnsi="宋体" w:eastAsia="仿宋_GB2312" w:cs="仿宋_GB2312"/>
          <w:b/>
          <w:bCs/>
          <w:sz w:val="28"/>
          <w:szCs w:val="28"/>
          <w:lang w:val="en-US" w:eastAsia="zh-CN"/>
        </w:rPr>
        <w:t>上海杉达学院</w:t>
      </w:r>
      <w:r>
        <w:rPr>
          <w:rFonts w:ascii="仿宋_GB2312" w:hAnsi="宋体" w:eastAsia="仿宋_GB2312"/>
          <w:sz w:val="32"/>
          <w:szCs w:val="32"/>
        </w:rPr>
        <w:br w:type="page"/>
      </w:r>
    </w:p>
    <w:p>
      <w:pPr>
        <w:keepNext/>
        <w:spacing w:before="0" w:after="0" w:line="300" w:lineRule="auto"/>
        <w:ind w:firstLine="0"/>
      </w:pPr>
      <w:r>
        <w:rPr>
          <w:rFonts w:ascii="Times New Roman" w:hAnsi="Times New Roman" w:eastAsia="宋体"/>
          <w:b/>
          <w:color w:val="000000"/>
          <w:sz w:val="24"/>
        </w:rPr>
        <w:t>1、开源项目简介</w:t>
      </w:r>
    </w:p>
    <w:p>
      <w:pPr>
        <w:spacing w:before="0" w:after="0" w:line="300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本次选择 Apache Commons CSV 1.14.1 的源码作为扫描对象。它是 Apache Commons 项目中的 Java 库，主要用于读取和写入不同格式的 CSV 文件。源码来源为 Apache 官方 GitHub 仓库的 rel/commons-csv-1.14.1 标签，下载后解压扫描，不包含 Git 历史。项目根目录包含 LICENSE.txt、NOTICE.txt 和 pom.xml，便于检查许可证声明与构建配置。</w:t>
      </w:r>
    </w:p>
    <w:p>
      <w:pPr>
        <w:spacing w:before="0" w:after="0" w:line="300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项目的根目录 LICENSE.txt 为 Apache License 2.0；NOTICE.txt 载明 Apache Software Foundation 的版权及来源声明。使用或分发时仍应结合许可证原文和具体文件，保留所需的许可证、版权及 NOTICE 信息，并标明修改，不能仅凭项目名称判断所有文件。</w:t>
      </w:r>
    </w:p>
    <w:p>
      <w:pPr>
        <w:keepNext/>
        <w:spacing w:before="0" w:after="0" w:line="300" w:lineRule="auto"/>
        <w:ind w:firstLine="0"/>
      </w:pPr>
      <w:r>
        <w:rPr>
          <w:rFonts w:ascii="Times New Roman" w:hAnsi="Times New Roman" w:eastAsia="宋体"/>
          <w:b/>
          <w:color w:val="000000"/>
          <w:sz w:val="24"/>
        </w:rPr>
        <w:t>2、工具选择与安装过程</w:t>
      </w:r>
    </w:p>
    <w:p>
      <w:pPr>
        <w:spacing w:before="0" w:after="0" w:line="300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选用 Apache Creadur RAT 0.18。手册指出 RAT 特别适合检查 Java 项目的许可证头，也能输出逐文件结果；其局限是侧重文件头审计，不能代替完整的依赖分析和人工法律判断。Windows 环境使用已有的 OpenJDK 21.0.8，下载 Apache 官方二进制 ZIP，解压得到 apache-rat-0.18.jar，执行 java -jar apache-rat-0.18.jar --help，程序正常显示版本及帮助信息。</w:t>
      </w:r>
    </w:p>
    <w:p>
      <w:pPr>
        <w:spacing w:before="0" w:after="0" w:line="300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安装时先尝试 ScanCode Toolkit，但受依赖包下载影响未完成安装，因此改用 RAT；系统默认 java 为 11，使用已有的 Java 21 可执行文件运行 RAT。官方下载的校验值请求出现连接异常，暂未完成 SHA-512 对照；压缩包能够解压并运行，但这不能代替校验。扫描时还出现 SLF4J 无日志提供程序提示，以及一个测试文件字符集不受支持的警告。</w:t>
      </w:r>
    </w:p>
    <w:p>
      <w:pPr>
        <w:spacing w:before="0" w:after="0" w:line="300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扫描命令：java -jar apache-rat-0.18.jar &lt;Commons CSV 源码目录&gt;。使用命令行默认配置，未读取项目 Maven 插件中的排除项；未执行修改源码或自动添加许可证头操作。扫描时间为 2026 年 10 月 29 日 18:25，完整原始输出另存为 RAT原始报告.txt。</w:t>
      </w:r>
    </w:p>
    <w:p>
      <w:pPr>
        <w:keepNext/>
        <w:spacing w:before="0" w:after="0" w:line="300" w:lineRule="auto"/>
        <w:ind w:firstLine="0"/>
      </w:pPr>
      <w:r>
        <w:rPr>
          <w:rFonts w:ascii="Times New Roman" w:hAnsi="Times New Roman" w:eastAsia="宋体"/>
          <w:b/>
          <w:color w:val="000000"/>
          <w:sz w:val="24"/>
        </w:rPr>
        <w:t>3、工具输出的检测报告</w:t>
      </w:r>
    </w:p>
    <w:p>
      <w:pPr>
        <w:spacing w:before="0" w:after="0" w:line="300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以下为原始报告摘要，数字保留工具的原始计数：</w:t>
      </w:r>
    </w:p>
    <w:p>
      <w:pPr>
        <w:spacing w:before="0" w:after="0" w:line="300" w:lineRule="auto"/>
        <w:ind w:firstLine="0" w:left="420"/>
      </w:pPr>
      <w:r>
        <w:rPr>
          <w:rFonts w:ascii="Times New Roman" w:hAnsi="Times New Roman" w:eastAsia="宋体"/>
          <w:b w:val="0"/>
          <w:color w:val="000000"/>
          <w:sz w:val="21"/>
        </w:rPr>
        <w:t>Approved: 80    Unapproved: 22    Standards: 102</w:t>
        <w:br/>
        <w:t>Apache License 2.0: 80    Unknown license: 22</w:t>
        <w:br/>
        <w:t>Archives: 1    Binaries: 5    Notices: 4    Ignored: 1</w:t>
      </w:r>
    </w:p>
    <w:p>
      <w:pPr>
        <w:spacing w:before="0" w:after="0" w:line="300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未获批准列表共有 22 项，包括根目录 .gitignore，以及测试资源 CSV-141/csv-141.csv、CSV-196/emoji.csv、CSV-290/psql.tsv、CSVFileParser/test.csv 和 empty.txt 等。命令退出码为 1，报告以“!”标识未获批准计数超过默认阈值。这里的 Approved、Unapproved 和文件类型是工具的不同计数维度，不能把这些数字简单相加当作文件总数。</w:t>
      </w:r>
    </w:p>
    <w:p>
      <w:pPr>
        <w:keepNext/>
        <w:spacing w:before="0" w:after="0" w:line="300" w:lineRule="auto"/>
        <w:ind w:firstLine="0"/>
      </w:pPr>
      <w:r>
        <w:rPr>
          <w:rFonts w:ascii="Times New Roman" w:hAnsi="Times New Roman" w:eastAsia="宋体"/>
          <w:b/>
          <w:color w:val="000000"/>
          <w:sz w:val="24"/>
        </w:rPr>
        <w:t>4、结果分析与处理建议</w:t>
      </w:r>
    </w:p>
    <w:p>
      <w:pPr>
        <w:spacing w:before="0" w:after="0" w:line="300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（1）已识别的许可证。工具将 80 条结果识别为 Apache License 2.0，说明扫描到的相应文件包含工具能够识别并接受的许可信息。根目录 LICENSE.txt 和 NOTICE.txt 提供了进一步核对材料；但该数字不代表项目所有内容都已完成合规审查。</w:t>
      </w:r>
    </w:p>
    <w:p>
      <w:pPr>
        <w:spacing w:before="0" w:after="0" w:line="300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（2）22 项异常的性质。逐项比对 pom.xml 中 apache-rat-plugin 的 excludes：其中 21 个位于测试资源目录，均与项目配置中的具体排除路径一致；剩余一项是 .gitignore。测试数据需要保持原始 CSV 或文本格式，直接加许可证头可能改变测试输入。项目排除这些文件说明维护者在构建审计中作了特殊处理，但排除本身不能证明版权来源或分发条件已经合规。</w:t>
      </w:r>
    </w:p>
    <w:p>
      <w:pPr>
        <w:spacing w:before="0" w:after="0" w:line="300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（3）为什么会出现差异。本次直接运行 RAT 命令行，默认检查指定目录，并未应用 pom.xml 的 Maven 插件排除配置，因此列出了这些测试资源；不能把本次结果当作 Maven 项目配置下的审计结果。下一步应逐个核对测试数据来源、许可和项目排除理由，对 .gitignore 判断是否需要排除或采用其他记录方式，再根据实际发布范围决定处理措施。</w:t>
      </w:r>
    </w:p>
    <w:p>
      <w:pPr>
        <w:spacing w:before="0" w:after="0" w:line="300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（4）局限与结论。报告还提示 CSV-213/999751170.patch.csv 的 IBM424_ltr 字符集不受支持；该文件的识别结果需要人工复核。归档与二进制文件、间接依赖、复制的代码片段也不能仅凭本次文件头扫描确认。综合来看，项目有明确的 Apache 2.0 声明，未识别项主要是测试数据，但尚不能据此宣称所有内容完全合规。</w:t>
      </w:r>
    </w:p>
    <w:p>
      <w:pPr>
        <w:keepNext/>
        <w:spacing w:before="0" w:after="0" w:line="300" w:lineRule="auto"/>
        <w:ind w:firstLine="0"/>
      </w:pPr>
      <w:r>
        <w:rPr>
          <w:rFonts w:ascii="Times New Roman" w:hAnsi="Times New Roman" w:eastAsia="宋体"/>
          <w:b/>
          <w:color w:val="000000"/>
          <w:sz w:val="24"/>
        </w:rPr>
        <w:t>参考资料</w:t>
      </w:r>
    </w:p>
    <w:p>
      <w:pPr>
        <w:spacing w:before="0" w:after="0" w:line="300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[1] Apache Commons CSV 项目：https://github.com/apache/commons-csv/tree/rel/commons-csv-1.14.1</w:t>
        <w:br/>
        <w:t>[2] Apache RAT 命令行说明：https://creadur.apache.org/rat/apache-rat/</w:t>
        <w:br/>
        <w:t>[3] Apache License 2.0：https://www.apache.org/licenses/LICENSE-2.0</w:t>
        <w:br/>
        <w:t>[4] 所附《33款开源许可合规工具-逐条优缺点与选型手册》。</w:t>
      </w:r>
    </w:p>
    <w:p w14:paraId="369978CF">
      <w:pPr>
        <w:widowControl/>
        <w:jc w:val="left"/>
        <w:rPr>
          <w:rFonts w:ascii="仿宋_GB2312" w:hAnsi="宋体" w:eastAsia="仿宋_GB2312"/>
          <w:sz w:val="24"/>
          <w:szCs w:val="24"/>
        </w:rPr>
        <w:sectPr>
          <w:headerReference r:id="rId3" w:type="default"/>
          <w:footerReference r:id="rId4" w:type="default"/>
          <w:pgSz w:w="11906" w:h="16838"/>
          <w:pgMar w:top="1440" w:right="1800" w:bottom="1440" w:left="1800" w:header="851" w:footer="992" w:gutter="0"/>
          <w:cols w:space="720" w:num="1"/>
          <w:docGrid w:type="lines" w:linePitch="312" w:charSpace="0"/>
        </w:sectPr>
      </w:pPr>
    </w:p>
    <w:p w14:paraId="38BC7205">
      <w:pPr>
        <w:widowControl/>
        <w:jc w:val="left"/>
        <w:rPr>
          <w:rFonts w:ascii="仿宋_GB2312" w:hAnsi="宋体" w:eastAsia="仿宋_GB2312"/>
          <w:sz w:val="24"/>
          <w:szCs w:val="24"/>
        </w:rPr>
      </w:pPr>
      <w:r>
        <w:rPr>
          <w:rFonts w:hint="eastAsia" w:ascii="仿宋_GB2312" w:hAnsi="宋体" w:eastAsia="仿宋_GB2312" w:cs="仿宋_GB2312"/>
          <w:sz w:val="24"/>
          <w:szCs w:val="24"/>
        </w:rPr>
        <w:t>评价表格：</w:t>
      </w:r>
    </w:p>
    <w:tbl>
      <w:tblPr>
        <w:tblStyle w:val="6"/>
        <w:tblW w:w="8522" w:type="dxa"/>
        <w:tblInd w:w="-10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479"/>
        <w:gridCol w:w="1043"/>
      </w:tblGrid>
      <w:tr w14:paraId="672061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79" w:type="dxa"/>
          </w:tcPr>
          <w:p w14:paraId="306EF4F9">
            <w:pPr>
              <w:spacing w:line="300" w:lineRule="auto"/>
              <w:jc w:val="center"/>
              <w:rPr>
                <w:rFonts w:ascii="仿宋" w:hAnsi="仿宋" w:eastAsia="仿宋"/>
                <w:b/>
                <w:bCs/>
                <w:kern w:val="0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</w:rPr>
              <w:t>考核标准</w:t>
            </w:r>
          </w:p>
        </w:tc>
        <w:tc>
          <w:tcPr>
            <w:tcW w:w="1043" w:type="dxa"/>
          </w:tcPr>
          <w:p w14:paraId="2BB8AF0D">
            <w:pPr>
              <w:widowControl/>
              <w:jc w:val="center"/>
              <w:rPr>
                <w:rFonts w:ascii="仿宋" w:hAnsi="仿宋" w:eastAsia="仿宋"/>
                <w:b/>
                <w:bCs/>
                <w:kern w:val="0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</w:rPr>
              <w:t>得分</w:t>
            </w:r>
          </w:p>
        </w:tc>
      </w:tr>
      <w:tr w14:paraId="70B67D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79" w:type="dxa"/>
          </w:tcPr>
          <w:p w14:paraId="603E2623">
            <w:pPr>
              <w:spacing w:line="300" w:lineRule="auto"/>
              <w:rPr>
                <w:rFonts w:ascii="仿宋" w:hAnsi="仿宋" w:eastAsia="仿宋"/>
                <w:kern w:val="0"/>
              </w:rPr>
            </w:pPr>
            <w:r>
              <w:rPr>
                <w:rFonts w:hint="eastAsia" w:ascii="仿宋" w:hAnsi="仿宋" w:eastAsia="仿宋" w:cs="仿宋"/>
                <w:kern w:val="0"/>
              </w:rPr>
              <w:t>（</w:t>
            </w:r>
            <w:r>
              <w:rPr>
                <w:rFonts w:ascii="仿宋" w:hAnsi="仿宋" w:eastAsia="仿宋" w:cs="仿宋"/>
                <w:kern w:val="0"/>
              </w:rPr>
              <w:t>1</w:t>
            </w:r>
            <w:r>
              <w:rPr>
                <w:rFonts w:hint="eastAsia" w:ascii="仿宋" w:hAnsi="仿宋" w:eastAsia="仿宋" w:cs="仿宋"/>
                <w:kern w:val="0"/>
              </w:rPr>
              <w:t>）报告格式规范、语言通顺（</w:t>
            </w:r>
            <w:r>
              <w:rPr>
                <w:rFonts w:ascii="仿宋" w:hAnsi="仿宋" w:eastAsia="仿宋" w:cs="仿宋"/>
                <w:kern w:val="0"/>
              </w:rPr>
              <w:t>10%</w:t>
            </w:r>
            <w:r>
              <w:rPr>
                <w:rFonts w:hint="eastAsia" w:ascii="仿宋" w:hAnsi="仿宋" w:eastAsia="仿宋" w:cs="仿宋"/>
                <w:kern w:val="0"/>
              </w:rPr>
              <w:t>）；</w:t>
            </w:r>
          </w:p>
        </w:tc>
        <w:tc>
          <w:tcPr>
            <w:tcW w:w="1043" w:type="dxa"/>
          </w:tcPr>
          <w:p w14:paraId="4B49FE88">
            <w:pPr>
              <w:widowControl/>
              <w:jc w:val="left"/>
              <w:rPr>
                <w:rFonts w:ascii="仿宋" w:hAnsi="仿宋" w:eastAsia="仿宋"/>
                <w:kern w:val="0"/>
              </w:rPr>
            </w:pPr>
          </w:p>
        </w:tc>
      </w:tr>
      <w:tr w14:paraId="053CC0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79" w:type="dxa"/>
          </w:tcPr>
          <w:p w14:paraId="2407C561">
            <w:pPr>
              <w:spacing w:line="300" w:lineRule="auto"/>
              <w:rPr>
                <w:rFonts w:ascii="仿宋" w:hAnsi="仿宋" w:eastAsia="仿宋"/>
                <w:kern w:val="0"/>
              </w:rPr>
            </w:pPr>
            <w:r>
              <w:rPr>
                <w:rFonts w:hint="eastAsia" w:ascii="仿宋" w:hAnsi="仿宋" w:eastAsia="仿宋" w:cs="仿宋"/>
                <w:kern w:val="0"/>
              </w:rPr>
              <w:t>（</w:t>
            </w:r>
            <w:r>
              <w:rPr>
                <w:rFonts w:ascii="仿宋" w:hAnsi="仿宋" w:eastAsia="仿宋" w:cs="仿宋"/>
                <w:kern w:val="0"/>
              </w:rPr>
              <w:t>2</w:t>
            </w:r>
            <w:r>
              <w:rPr>
                <w:rFonts w:hint="eastAsia" w:ascii="仿宋" w:hAnsi="仿宋" w:eastAsia="仿宋" w:cs="仿宋"/>
                <w:kern w:val="0"/>
              </w:rPr>
              <w:t>）质量标准分析合理（1</w:t>
            </w:r>
            <w:r>
              <w:rPr>
                <w:rFonts w:ascii="仿宋" w:hAnsi="仿宋" w:eastAsia="仿宋" w:cs="仿宋"/>
                <w:kern w:val="0"/>
              </w:rPr>
              <w:t>0%</w:t>
            </w:r>
            <w:r>
              <w:rPr>
                <w:rFonts w:hint="eastAsia" w:ascii="仿宋" w:hAnsi="仿宋" w:eastAsia="仿宋" w:cs="仿宋"/>
                <w:kern w:val="0"/>
              </w:rPr>
              <w:t>）；</w:t>
            </w:r>
          </w:p>
        </w:tc>
        <w:tc>
          <w:tcPr>
            <w:tcW w:w="1043" w:type="dxa"/>
          </w:tcPr>
          <w:p w14:paraId="592BED55">
            <w:pPr>
              <w:widowControl/>
              <w:jc w:val="left"/>
              <w:rPr>
                <w:rFonts w:ascii="仿宋" w:hAnsi="仿宋" w:eastAsia="仿宋"/>
                <w:kern w:val="0"/>
              </w:rPr>
            </w:pPr>
          </w:p>
        </w:tc>
      </w:tr>
      <w:tr w14:paraId="345EE7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79" w:type="dxa"/>
          </w:tcPr>
          <w:p w14:paraId="06B4BA6C">
            <w:pPr>
              <w:spacing w:line="300" w:lineRule="auto"/>
              <w:rPr>
                <w:rFonts w:ascii="仿宋" w:hAnsi="仿宋" w:eastAsia="仿宋"/>
                <w:kern w:val="0"/>
              </w:rPr>
            </w:pPr>
            <w:r>
              <w:rPr>
                <w:rFonts w:hint="eastAsia" w:ascii="仿宋" w:hAnsi="仿宋" w:eastAsia="仿宋" w:cs="仿宋"/>
                <w:kern w:val="0"/>
              </w:rPr>
              <w:t>（</w:t>
            </w:r>
            <w:r>
              <w:rPr>
                <w:rFonts w:ascii="仿宋" w:hAnsi="仿宋" w:eastAsia="仿宋" w:cs="仿宋"/>
                <w:kern w:val="0"/>
              </w:rPr>
              <w:t>3</w:t>
            </w:r>
            <w:r>
              <w:rPr>
                <w:rFonts w:hint="eastAsia" w:ascii="仿宋" w:hAnsi="仿宋" w:eastAsia="仿宋" w:cs="仿宋"/>
                <w:kern w:val="0"/>
              </w:rPr>
              <w:t>）测试方法分析全面、合理（</w:t>
            </w:r>
            <w:r>
              <w:rPr>
                <w:rFonts w:ascii="仿宋" w:hAnsi="仿宋" w:eastAsia="仿宋" w:cs="仿宋"/>
                <w:kern w:val="0"/>
              </w:rPr>
              <w:t>20%</w:t>
            </w:r>
            <w:r>
              <w:rPr>
                <w:rFonts w:hint="eastAsia" w:ascii="仿宋" w:hAnsi="仿宋" w:eastAsia="仿宋" w:cs="仿宋"/>
                <w:kern w:val="0"/>
              </w:rPr>
              <w:t>）；</w:t>
            </w:r>
          </w:p>
        </w:tc>
        <w:tc>
          <w:tcPr>
            <w:tcW w:w="1043" w:type="dxa"/>
          </w:tcPr>
          <w:p w14:paraId="5E606DBE">
            <w:pPr>
              <w:widowControl/>
              <w:jc w:val="left"/>
              <w:rPr>
                <w:rFonts w:ascii="仿宋" w:hAnsi="仿宋" w:eastAsia="仿宋"/>
                <w:kern w:val="0"/>
              </w:rPr>
            </w:pPr>
          </w:p>
        </w:tc>
      </w:tr>
      <w:tr w14:paraId="155A93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79" w:type="dxa"/>
          </w:tcPr>
          <w:p w14:paraId="37F015F1">
            <w:pPr>
              <w:spacing w:line="300" w:lineRule="auto"/>
              <w:rPr>
                <w:rFonts w:ascii="仿宋" w:hAnsi="仿宋" w:eastAsia="仿宋"/>
                <w:kern w:val="0"/>
              </w:rPr>
            </w:pPr>
            <w:r>
              <w:rPr>
                <w:rFonts w:hint="eastAsia" w:ascii="仿宋" w:hAnsi="仿宋" w:eastAsia="仿宋" w:cs="仿宋"/>
                <w:kern w:val="0"/>
              </w:rPr>
              <w:t>（</w:t>
            </w:r>
            <w:r>
              <w:rPr>
                <w:rFonts w:ascii="仿宋" w:hAnsi="仿宋" w:eastAsia="仿宋" w:cs="仿宋"/>
                <w:kern w:val="0"/>
              </w:rPr>
              <w:t>4</w:t>
            </w:r>
            <w:r>
              <w:rPr>
                <w:rFonts w:hint="eastAsia" w:ascii="仿宋" w:hAnsi="仿宋" w:eastAsia="仿宋" w:cs="仿宋"/>
                <w:kern w:val="0"/>
              </w:rPr>
              <w:t>）测试风险分析全面、合理（</w:t>
            </w:r>
            <w:r>
              <w:rPr>
                <w:rFonts w:ascii="仿宋" w:hAnsi="仿宋" w:eastAsia="仿宋" w:cs="仿宋"/>
                <w:kern w:val="0"/>
              </w:rPr>
              <w:t>20%</w:t>
            </w:r>
            <w:r>
              <w:rPr>
                <w:rFonts w:hint="eastAsia" w:ascii="仿宋" w:hAnsi="仿宋" w:eastAsia="仿宋" w:cs="仿宋"/>
                <w:kern w:val="0"/>
              </w:rPr>
              <w:t>）；</w:t>
            </w:r>
          </w:p>
        </w:tc>
        <w:tc>
          <w:tcPr>
            <w:tcW w:w="1043" w:type="dxa"/>
          </w:tcPr>
          <w:p w14:paraId="1086904D">
            <w:pPr>
              <w:widowControl/>
              <w:jc w:val="left"/>
              <w:rPr>
                <w:rFonts w:ascii="仿宋" w:hAnsi="仿宋" w:eastAsia="仿宋"/>
                <w:kern w:val="0"/>
              </w:rPr>
            </w:pPr>
          </w:p>
        </w:tc>
      </w:tr>
      <w:tr w14:paraId="182C18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79" w:type="dxa"/>
          </w:tcPr>
          <w:p w14:paraId="4EEB5B32">
            <w:pPr>
              <w:spacing w:line="300" w:lineRule="auto"/>
              <w:rPr>
                <w:rFonts w:ascii="仿宋" w:hAnsi="仿宋" w:eastAsia="仿宋"/>
                <w:kern w:val="0"/>
              </w:rPr>
            </w:pPr>
            <w:r>
              <w:rPr>
                <w:rFonts w:hint="eastAsia" w:ascii="仿宋" w:hAnsi="仿宋" w:eastAsia="仿宋" w:cs="仿宋"/>
                <w:kern w:val="0"/>
              </w:rPr>
              <w:t>（</w:t>
            </w:r>
            <w:r>
              <w:rPr>
                <w:rFonts w:ascii="仿宋" w:hAnsi="仿宋" w:eastAsia="仿宋" w:cs="仿宋"/>
                <w:kern w:val="0"/>
              </w:rPr>
              <w:t>5</w:t>
            </w:r>
            <w:r>
              <w:rPr>
                <w:rFonts w:hint="eastAsia" w:ascii="仿宋" w:hAnsi="仿宋" w:eastAsia="仿宋" w:cs="仿宋"/>
                <w:kern w:val="0"/>
              </w:rPr>
              <w:t>）测试总体测试策略全面、合理（3</w:t>
            </w:r>
            <w:r>
              <w:rPr>
                <w:rFonts w:ascii="仿宋" w:hAnsi="仿宋" w:eastAsia="仿宋" w:cs="仿宋"/>
                <w:kern w:val="0"/>
              </w:rPr>
              <w:t>0%</w:t>
            </w:r>
            <w:r>
              <w:rPr>
                <w:rFonts w:hint="eastAsia" w:ascii="仿宋" w:hAnsi="仿宋" w:eastAsia="仿宋" w:cs="仿宋"/>
                <w:kern w:val="0"/>
              </w:rPr>
              <w:t>）</w:t>
            </w:r>
          </w:p>
        </w:tc>
        <w:tc>
          <w:tcPr>
            <w:tcW w:w="1043" w:type="dxa"/>
          </w:tcPr>
          <w:p w14:paraId="36167FA8">
            <w:pPr>
              <w:widowControl/>
              <w:jc w:val="left"/>
              <w:rPr>
                <w:rFonts w:ascii="仿宋" w:hAnsi="仿宋" w:eastAsia="仿宋"/>
                <w:kern w:val="0"/>
              </w:rPr>
            </w:pPr>
          </w:p>
        </w:tc>
      </w:tr>
      <w:tr w14:paraId="496495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79" w:type="dxa"/>
          </w:tcPr>
          <w:p w14:paraId="6EB43FAF">
            <w:pPr>
              <w:spacing w:line="300" w:lineRule="auto"/>
              <w:rPr>
                <w:rFonts w:ascii="仿宋" w:hAnsi="仿宋" w:eastAsia="仿宋" w:cs="仿宋"/>
                <w:kern w:val="0"/>
              </w:rPr>
            </w:pPr>
            <w:r>
              <w:rPr>
                <w:rFonts w:hint="eastAsia" w:ascii="仿宋" w:hAnsi="仿宋" w:eastAsia="仿宋" w:cs="仿宋"/>
                <w:kern w:val="0"/>
              </w:rPr>
              <w:t>（6）测试充分性判断标准合理（10%）</w:t>
            </w:r>
          </w:p>
        </w:tc>
        <w:tc>
          <w:tcPr>
            <w:tcW w:w="1043" w:type="dxa"/>
          </w:tcPr>
          <w:p w14:paraId="13FC1955">
            <w:pPr>
              <w:widowControl/>
              <w:jc w:val="left"/>
              <w:rPr>
                <w:rFonts w:ascii="仿宋" w:hAnsi="仿宋" w:eastAsia="仿宋"/>
                <w:kern w:val="0"/>
              </w:rPr>
            </w:pPr>
          </w:p>
        </w:tc>
      </w:tr>
    </w:tbl>
    <w:p w14:paraId="32DAE905">
      <w:pPr>
        <w:widowControl/>
        <w:jc w:val="left"/>
        <w:rPr>
          <w:rFonts w:ascii="仿宋_GB2312" w:hAnsi="宋体" w:eastAsia="仿宋_GB2312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KSOFE4500885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1BED45">
    <w:pPr>
      <w:pStyle w:val="4"/>
      <w:jc w:val="center"/>
      <w:rPr>
        <w:rFonts w:ascii="宋体"/>
        <w:sz w:val="21"/>
        <w:szCs w:val="21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FC2EF0"/>
  <w:p w14:paraId="24A17E3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oNotHyphenateCaps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2FF7"/>
    <w:rsid w:val="00004924"/>
    <w:rsid w:val="0004082D"/>
    <w:rsid w:val="00122EF6"/>
    <w:rsid w:val="001B25B7"/>
    <w:rsid w:val="00210F7B"/>
    <w:rsid w:val="002A68D5"/>
    <w:rsid w:val="002B1E36"/>
    <w:rsid w:val="002E6DAA"/>
    <w:rsid w:val="00300C0D"/>
    <w:rsid w:val="0031225C"/>
    <w:rsid w:val="00327EE0"/>
    <w:rsid w:val="003939A9"/>
    <w:rsid w:val="003D5142"/>
    <w:rsid w:val="004C0520"/>
    <w:rsid w:val="00543D41"/>
    <w:rsid w:val="0056650E"/>
    <w:rsid w:val="006271D4"/>
    <w:rsid w:val="00652FF7"/>
    <w:rsid w:val="00670E8A"/>
    <w:rsid w:val="00777921"/>
    <w:rsid w:val="00780EF2"/>
    <w:rsid w:val="007B2FC0"/>
    <w:rsid w:val="007B59F3"/>
    <w:rsid w:val="007E21F6"/>
    <w:rsid w:val="007E763B"/>
    <w:rsid w:val="007F5A3E"/>
    <w:rsid w:val="008E5344"/>
    <w:rsid w:val="00911CFD"/>
    <w:rsid w:val="00956CF2"/>
    <w:rsid w:val="00A15A10"/>
    <w:rsid w:val="00A4464A"/>
    <w:rsid w:val="00AB32CB"/>
    <w:rsid w:val="00AE7B1B"/>
    <w:rsid w:val="00BB2BBC"/>
    <w:rsid w:val="00BC35C9"/>
    <w:rsid w:val="00BE2E5F"/>
    <w:rsid w:val="00C70D3A"/>
    <w:rsid w:val="00C85277"/>
    <w:rsid w:val="00D02F64"/>
    <w:rsid w:val="00DF1951"/>
    <w:rsid w:val="00DF2C02"/>
    <w:rsid w:val="00E12444"/>
    <w:rsid w:val="00E749A8"/>
    <w:rsid w:val="00E85B11"/>
    <w:rsid w:val="00E911C2"/>
    <w:rsid w:val="00F61227"/>
    <w:rsid w:val="00F93499"/>
    <w:rsid w:val="00F95DEC"/>
    <w:rsid w:val="00FE3EF8"/>
    <w:rsid w:val="05F15D1D"/>
    <w:rsid w:val="0695635D"/>
    <w:rsid w:val="0C620734"/>
    <w:rsid w:val="12FD788F"/>
    <w:rsid w:val="1A101EFF"/>
    <w:rsid w:val="1AB55DD4"/>
    <w:rsid w:val="1C787CA6"/>
    <w:rsid w:val="23E65FFA"/>
    <w:rsid w:val="32FB6306"/>
    <w:rsid w:val="36034403"/>
    <w:rsid w:val="38DD575A"/>
    <w:rsid w:val="3BDF39ED"/>
    <w:rsid w:val="3D775432"/>
    <w:rsid w:val="47351CE1"/>
    <w:rsid w:val="4C987DD0"/>
    <w:rsid w:val="60CA19D8"/>
    <w:rsid w:val="665D5E75"/>
    <w:rsid w:val="6D2E4BAB"/>
    <w:rsid w:val="71E75D3D"/>
    <w:rsid w:val="720A10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 w:locked="1"/>
    <w:lsdException w:qFormat="1" w:uiPriority="0" w:name="heading 2" w:locked="1"/>
    <w:lsdException w:qFormat="1" w:unhideWhenUsed="0" w:uiPriority="99" w:semiHidden="0" w:name="heading 3"/>
    <w:lsdException w:qFormat="1" w:uiPriority="0" w:name="heading 4" w:locked="1"/>
    <w:lsdException w:qFormat="1" w:uiPriority="0" w:name="heading 5" w:locked="1"/>
    <w:lsdException w:qFormat="1" w:uiPriority="0" w:name="heading 6" w:locked="1"/>
    <w:lsdException w:qFormat="1" w:uiPriority="0" w:name="heading 7" w:locked="1"/>
    <w:lsdException w:qFormat="1" w:uiPriority="0" w:name="heading 8" w:locked="1"/>
    <w:lsdException w:qFormat="1" w:uiPriority="0" w:name="heading 9" w:locked="1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0" w:semiHidden="0" w:name="toc 1" w:locked="1"/>
    <w:lsdException w:unhideWhenUsed="0" w:uiPriority="0" w:semiHidden="0" w:name="toc 2" w:locked="1"/>
    <w:lsdException w:unhideWhenUsed="0" w:uiPriority="0" w:semiHidden="0" w:name="toc 3" w:locked="1"/>
    <w:lsdException w:unhideWhenUsed="0" w:uiPriority="0" w:semiHidden="0" w:name="toc 4" w:locked="1"/>
    <w:lsdException w:unhideWhenUsed="0" w:uiPriority="0" w:semiHidden="0" w:name="toc 5" w:locked="1"/>
    <w:lsdException w:unhideWhenUsed="0" w:uiPriority="0" w:semiHidden="0" w:name="toc 6" w:locked="1"/>
    <w:lsdException w:unhideWhenUsed="0" w:uiPriority="0" w:semiHidden="0" w:name="toc 7" w:locked="1"/>
    <w:lsdException w:unhideWhenUsed="0" w:uiPriority="0" w:semiHidden="0" w:name="toc 8" w:locked="1"/>
    <w:lsdException w:unhideWhenUsed="0" w:uiPriority="0" w:semiHidden="0" w:name="toc 9" w:locked="1"/>
    <w:lsdException w:uiPriority="99" w:name="Normal Indent"/>
    <w:lsdException w:uiPriority="99" w:name="footnote text"/>
    <w:lsdException w:uiPriority="99" w:name="annotation text"/>
    <w:lsdException w:qFormat="1" w:unhideWhenUsed="0" w:uiPriority="99" w:semiHidden="0" w:name="header"/>
    <w:lsdException w:qFormat="1" w:unhideWhenUsed="0" w:uiPriority="99" w:semiHidden="0" w:name="footer"/>
    <w:lsdException w:uiPriority="99" w:name="index heading"/>
    <w:lsdException w:qFormat="1" w:uiPriority="0" w:name="caption" w:locked="1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 w:locked="1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 w:locked="1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 w:locked="1"/>
    <w:lsdException w:qFormat="1" w:unhideWhenUsed="0" w:uiPriority="0" w:semiHidden="0" w:name="Emphasis" w:locked="1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99" w:name="Balloon Text"/>
    <w:lsdException w:qFormat="1" w:unhideWhenUsed="0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styleId="2">
    <w:name w:val="heading 3"/>
    <w:basedOn w:val="1"/>
    <w:next w:val="1"/>
    <w:link w:val="9"/>
    <w:qFormat/>
    <w:uiPriority w:val="9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10"/>
    <w:semiHidden/>
    <w:qFormat/>
    <w:uiPriority w:val="99"/>
    <w:rPr>
      <w:sz w:val="18"/>
      <w:szCs w:val="18"/>
    </w:rPr>
  </w:style>
  <w:style w:type="paragraph" w:styleId="4">
    <w:name w:val="footer"/>
    <w:basedOn w:val="1"/>
    <w:link w:val="11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2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7">
    <w:name w:val="Table Grid"/>
    <w:basedOn w:val="6"/>
    <w:qFormat/>
    <w:uiPriority w:val="9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9">
    <w:name w:val="标题 3 字符"/>
    <w:link w:val="2"/>
    <w:semiHidden/>
    <w:qFormat/>
    <w:locked/>
    <w:uiPriority w:val="99"/>
    <w:rPr>
      <w:rFonts w:ascii="Times New Roman" w:hAnsi="Times New Roman" w:eastAsia="宋体" w:cs="Times New Roman"/>
      <w:b/>
      <w:bCs/>
      <w:sz w:val="32"/>
      <w:szCs w:val="32"/>
    </w:rPr>
  </w:style>
  <w:style w:type="character" w:customStyle="1" w:styleId="10">
    <w:name w:val="批注框文本 字符"/>
    <w:link w:val="3"/>
    <w:semiHidden/>
    <w:qFormat/>
    <w:locked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1">
    <w:name w:val="页脚 字符"/>
    <w:link w:val="4"/>
    <w:qFormat/>
    <w:locked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2">
    <w:name w:val="页眉 字符"/>
    <w:link w:val="5"/>
    <w:qFormat/>
    <w:locked/>
    <w:uiPriority w:val="99"/>
    <w:rPr>
      <w:rFonts w:ascii="Times New Roman" w:hAnsi="Times New Roman" w:eastAsia="宋体" w:cs="Times New Roman"/>
      <w:sz w:val="18"/>
      <w:szCs w:val="18"/>
    </w:rPr>
  </w:style>
  <w:style w:type="paragraph" w:customStyle="1" w:styleId="13">
    <w:name w:val="List Paragraph1"/>
    <w:basedOn w:val="1"/>
    <w:qFormat/>
    <w:uiPriority w:val="99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3</Pages>
  <Words>364</Words>
  <Characters>401</Characters>
  <Lines>3</Lines>
  <Paragraphs>1</Paragraphs>
  <TotalTime>6</TotalTime>
  <ScaleCrop>false</ScaleCrop>
  <LinksUpToDate>false</LinksUpToDate>
  <CharactersWithSpaces>444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2023-08-22T04:51:00Z</dcterms:created>
  <dc:creator>微软用户</dc:creator>
  <cp:lastModifiedBy>依帆临水</cp:lastModifiedBy>
  <dcterms:modified xsi:type="dcterms:W3CDTF">2026-10-08T11:26:42Z</dcterms:modified>
  <dc:title>课程编号：B0801*****</dc:title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eyJoZGlkIjoiNDgwYTczMWY1MmU4Njk2MDNiY2QyNDljNjZhY2Y5OGIiLCJ1c2VySWQiOiIzMTAyOTEwNTUifQ==</vt:lpwstr>
  </property>
  <property fmtid="{D5CDD505-2E9C-101B-9397-08002B2CF9AE}" pid="4" name="ICV">
    <vt:lpwstr>2FCBE16CC9AA4110AD018CF3B4DFFEB0_12</vt:lpwstr>
  </property>
</Properties>
</file>