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Leçon 4 : Serveurs d'application, déploiement entreprise et synchronisation des threads</w:t>
      </w:r>
    </w:p>
    <w:p>
      <w:pPr>
        <w:spacing w:after="400"/>
      </w:pPr>
      <w:r>
        <w:rPr>
          <w:i/>
          <w:iCs/>
          <w:color w:val="5B6472"/>
          <w:sz w:val="22"/>
          <w:szCs w:val="22"/>
        </w:rPr>
        <w:t xml:space="preserve">Support de cours détaillé — Génie Informatique</w:t>
      </w:r>
    </w:p>
    <w:p>
      <w:pPr>
        <w:pStyle w:val="Heading1"/>
        <w:spacing w:after="150" w:before="300"/>
      </w:pPr>
      <w:r>
        <w:t xml:space="preserve">Introduction</w:t>
      </w:r>
    </w:p>
    <w:p>
      <w:pPr>
        <w:spacing w:after="140"/>
      </w:pPr>
      <w:r>
        <w:rPr>
          <w:sz w:val="22"/>
          <w:szCs w:val="22"/>
        </w:rPr>
        <w:t xml:space="preserve">Une fois une application Java développée, il reste à choisir son environnement d'exécution (runtime), à optimiser la gestion des ressources partagées côté serveur (connexions base de données, threads), puis à choisir un format et une stratégie de déploiement adaptés. Cette leçon couvre ces trois aspects : la différence entre conteneur de servlets et serveur d'application complet, la synchronisation des threads et des connexions, et enfin les artefacts de déploiement (WAR contre JAR exécutable).</w:t>
      </w:r>
    </w:p>
    <w:p>
      <w:pPr>
        <w:pStyle w:val="Heading1"/>
        <w:spacing w:after="150" w:before="300"/>
      </w:pPr>
      <w:r>
        <w:t xml:space="preserve">1. Serveurs d'application contre conteneurs de servlets</w:t>
      </w:r>
    </w:p>
    <w:p>
      <w:pPr>
        <w:pStyle w:val="Heading2"/>
        <w:spacing w:after="120" w:before="240"/>
      </w:pPr>
      <w:r>
        <w:t xml:space="preserve">1.1 Conteneurs de servlets (ex. Apache Tomcat)</w:t>
      </w:r>
    </w:p>
    <w:p>
      <w:pPr>
        <w:spacing w:after="140"/>
      </w:pPr>
      <w:r>
        <w:rPr>
          <w:sz w:val="22"/>
          <w:szCs w:val="22"/>
        </w:rPr>
        <w:t xml:space="preserve">Un conteneur de servlets est un environnement d'exécution limité au « profil web » de la plateforme Jakarta EE. Il prend en charge le cycle de vie des Servlets, le rendu des pages JSP et le protocole WebSocket, mais ne fournit pas nativement les services d'entreprise plus avancés (EJB, JMS, JTA). Tomcat est l'exemple le plus répandu : léger et simple à administrer, il convient à de nombreuses applications web qui n'ont pas besoin de ces services avancés.</w:t>
      </w:r>
    </w:p>
    <w:p>
      <w:pPr>
        <w:pStyle w:val="Heading2"/>
        <w:spacing w:after="120" w:before="240"/>
      </w:pPr>
      <w:r>
        <w:t xml:space="preserve">1.2 Serveurs d'application complets (ex. Eclipse GlassFish, WildFly)</w:t>
      </w:r>
    </w:p>
    <w:p>
      <w:pPr>
        <w:spacing w:after="140"/>
      </w:pPr>
      <w:r>
        <w:rPr>
          <w:sz w:val="22"/>
          <w:szCs w:val="22"/>
        </w:rPr>
        <w:t xml:space="preserve">Un serveur d'application complet implémente l'ensemble de la suite Jakarta EE entreprise, en plus des fonctionnalités d'un conteneur de servlets. Il ajoute notamment :</w:t>
      </w:r>
    </w:p>
    <w:p>
      <w:pPr>
        <w:pStyle w:val="ListParagraph"/>
        <w:numPr>
          <w:ilvl w:val="0"/>
          <w:numId w:val="2"/>
        </w:numPr>
        <w:spacing w:after="90"/>
      </w:pPr>
      <w:r>
        <w:t xml:space="preserve">EJB (Enterprise JavaBeans) : composants métier gérés par le conteneur, avec prise en charge native des transactions et de la sécurité.</w:t>
      </w:r>
    </w:p>
    <w:p>
      <w:pPr>
        <w:pStyle w:val="ListParagraph"/>
        <w:numPr>
          <w:ilvl w:val="0"/>
          <w:numId w:val="2"/>
        </w:numPr>
        <w:spacing w:after="90"/>
      </w:pPr>
      <w:r>
        <w:t xml:space="preserve">JMS (Java Message Service) : messagerie asynchrone entre composants ou systèmes, utile pour découpler des traitements.</w:t>
      </w:r>
    </w:p>
    <w:p>
      <w:pPr>
        <w:pStyle w:val="ListParagraph"/>
        <w:numPr>
          <w:ilvl w:val="0"/>
          <w:numId w:val="2"/>
        </w:numPr>
        <w:spacing w:after="90"/>
      </w:pPr>
      <w:r>
        <w:t xml:space="preserve">JTA (Java Transaction API) : gestion de transactions distribuées, impliquant potentiellement plusieurs ressources (plusieurs bases de données, une base et une file de messages, etc.).</w:t>
      </w:r>
    </w:p>
    <w:p>
      <w:pPr>
        <w:spacing w:after="140"/>
      </w:pPr>
      <w:r>
        <w:rPr>
          <w:sz w:val="22"/>
          <w:szCs w:val="22"/>
        </w:rPr>
        <w:t xml:space="preserve">Le choix entre les deux dépend donc des besoins réels de l'application : un simple site web n'a généralement pas besoin d'un serveur d'application complet, alors qu'un système bancaire avec transactions distribuées en aura probablement besoin.</w:t>
      </w:r>
    </w:p>
    <w:p>
      <w:pPr>
        <w:pStyle w:val="Heading1"/>
        <w:spacing w:after="150" w:before="300"/>
      </w:pPr>
      <w:r>
        <w:t xml:space="preserve">2. Synchronisation des threads et pools de connexions</w:t>
      </w:r>
    </w:p>
    <w:p>
      <w:pPr>
        <w:pStyle w:val="Heading2"/>
        <w:spacing w:after="120" w:before="240"/>
      </w:pPr>
      <w:r>
        <w:t xml:space="preserve">2.1 Pools de connexions (ex. HikariCP)</w:t>
      </w:r>
    </w:p>
    <w:p>
      <w:pPr>
        <w:spacing w:after="140"/>
      </w:pPr>
      <w:r>
        <w:rPr>
          <w:sz w:val="22"/>
          <w:szCs w:val="22"/>
        </w:rPr>
        <w:t xml:space="preserve">Établir une connexion vers une base de données est une opération relativement coûteuse (établissement de la connexion réseau, authentification). Un pool de connexions maintient un ensemble de connexions déjà ouvertes et les redistribue à la demande, évitant de recréer une connexion pour chaque requête. HikariCP est aujourd'hui une référence pour sa faible latence et son empreinte réduite ; c'est notamment le pool de connexions utilisé par défaut dans Spring Boot.</w:t>
      </w:r>
    </w:p>
    <w:p>
      <w:pPr>
        <w:pStyle w:val="Heading2"/>
        <w:spacing w:after="120" w:before="240"/>
      </w:pPr>
      <w:r>
        <w:t xml:space="preserve">2.2 Pools de threads (Executor Thread Pools)</w:t>
      </w:r>
    </w:p>
    <w:p>
      <w:pPr>
        <w:spacing w:after="140"/>
      </w:pPr>
      <w:r>
        <w:rPr>
          <w:sz w:val="22"/>
          <w:szCs w:val="22"/>
        </w:rPr>
        <w:t xml:space="preserve">Chaque requête HTTP entrante doit être traitée par un thread. Créer un nouveau thread pour chaque requête serait coûteux et pourrait épuiser les ressources du serveur sous forte charge. Un Executor thread pool gère dynamiquement un ensemble de threads réutilisables : il attribue un thread disponible à chaque nouvelle requête, met en file d'attente les requêtes excédentaires si tous les threads sont occupés, et limite ainsi le nombre de threads concurrents pour préserver la stabilité du serveur.</w:t>
      </w:r>
    </w:p>
    <w:p>
      <w:pPr>
        <w:pStyle w:val="Heading1"/>
        <w:spacing w:after="150" w:before="300"/>
      </w:pPr>
      <w:r>
        <w:t xml:space="preserve">3. Artefacts et stratégies de déploiement</w:t>
      </w:r>
    </w:p>
    <w:p>
      <w:pPr>
        <w:pStyle w:val="Heading2"/>
        <w:spacing w:after="120" w:before="240"/>
      </w:pPr>
      <w:r>
        <w:t xml:space="preserve">3.1 WAR (Web Application Archive)</w:t>
      </w:r>
    </w:p>
    <w:p>
      <w:pPr>
        <w:spacing w:after="140"/>
      </w:pPr>
      <w:r>
        <w:rPr>
          <w:sz w:val="22"/>
          <w:szCs w:val="22"/>
        </w:rPr>
        <w:t xml:space="preserve">Un fichier WAR est une archive qui regroupe le code compilé, les pages JSP, les ressources statiques et le descripteur de déploiement (web.xml) d'une application web. Ce format doit être déployé dans un conteneur de servlets ou un serveur d'application déjà installé et configuré séparément de l'application elle-même. Plusieurs applications WAR peuvent ainsi partager un même serveur physique ou virtuel.</w:t>
      </w:r>
    </w:p>
    <w:p>
      <w:pPr>
        <w:pStyle w:val="Heading2"/>
        <w:spacing w:after="120" w:before="240"/>
      </w:pPr>
      <w:r>
        <w:t xml:space="preserve">3.2 JAR exécutable autonome (modèle « embedded container »)</w:t>
      </w:r>
    </w:p>
    <w:p>
      <w:pPr>
        <w:spacing w:after="140"/>
      </w:pPr>
      <w:r>
        <w:rPr>
          <w:sz w:val="22"/>
          <w:szCs w:val="22"/>
        </w:rPr>
        <w:t xml:space="preserve">Un JAR exécutable autonome embarque directement, à l'intérieur de l'archive, son propre conteneur de servlets (par exemple un Tomcat embarqué, comme le fait Spring Boot par défaut). L'application se lance alors directement avec la commande java -jar application.jar, sans qu'un serveur externe ne soit préalablement installé et configuré. Ce modèle est aujourd'hui privilégié pour les architectures cloud-native, car il s'intègre naturellement avec la conteneurisation vue en leçon précédente : chaque conteneur Docker embarque une application totalement autonome et exécutable par elle-même.</w:t>
      </w:r>
    </w:p>
    <w:p>
      <w:pPr>
        <w:pStyle w:val="Heading1"/>
        <w:spacing w:after="150" w:before="300"/>
      </w:pPr>
      <w:r>
        <w:t xml:space="preserve">Synthèse</w:t>
      </w:r>
    </w:p>
    <w:p>
      <w:pPr>
        <w:spacing w:after="140"/>
      </w:pPr>
      <w:r>
        <w:rPr>
          <w:sz w:val="22"/>
          <w:szCs w:val="22"/>
        </w:rPr>
        <w:t xml:space="preserve">Le choix d'un environnement d'exécution (conteneur de servlets léger ou serveur d'application complet) dépend des services entreprise réellement nécessaires à l'application. Quel que soit ce choix, les performances côté serveur reposent sur une gestion efficace des ressources partagées : un pool de connexions pour la base de données, et un pool de threads pour absorber la charge des requêtes HTTP. Enfin, le format de déploiement — WAR déployé sur un serveur externe, ou JAR exécutable autonome avec conteneur embarqué — détermine directement la façon dont l'application s'intègre dans une architecture moderne, notamment conteneurisée.</w:t>
      </w:r>
    </w:p>
    <w:p>
      <w:pPr>
        <w:spacing w:before="200"/>
      </w:pPr>
    </w:p>
    <w:p>
      <w:pPr>
        <w:pStyle w:val="Heading2"/>
        <w:spacing w:after="120" w:before="240"/>
      </w:pPr>
      <w:r>
        <w:t xml:space="preserve">Annexe — Tableau comparatif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B2A4A" w:val="clear"/>
          </w:tcPr>
          <w:p>
            <w:r>
              <w:rPr>
                <w:b/>
                <w:bCs/>
                <w:color w:val="FFFFFF"/>
                <w:sz w:val="20"/>
                <w:szCs w:val="20"/>
              </w:rPr>
              <w:t xml:space="preserve">Critère</w:t>
            </w:r>
          </w:p>
        </w:tc>
        <w:tc>
          <w:tcPr>
            <w:tcW w:type="pct" w:w="33%"/>
            <w:shd w:fill="1B2A4A" w:val="clear"/>
          </w:tcPr>
          <w:p>
            <w:r>
              <w:rPr>
                <w:b/>
                <w:bCs/>
                <w:color w:val="FFFFFF"/>
                <w:sz w:val="20"/>
                <w:szCs w:val="20"/>
              </w:rPr>
              <w:t xml:space="preserve">Conteneur de servlets (Tomcat)</w:t>
            </w:r>
          </w:p>
        </w:tc>
        <w:tc>
          <w:tcPr>
            <w:tcW w:type="pct" w:w="33%"/>
            <w:shd w:fill="1B2A4A" w:val="clear"/>
          </w:tcPr>
          <w:p>
            <w:r>
              <w:rPr>
                <w:b/>
                <w:bCs/>
                <w:color w:val="FFFFFF"/>
                <w:sz w:val="20"/>
                <w:szCs w:val="20"/>
              </w:rPr>
              <w:t xml:space="preserve">Serveur d'application (GlassFish, WildFly)</w:t>
            </w:r>
          </w:p>
        </w:tc>
      </w:tr>
      <w:tr>
        <w:tc>
          <w:tcPr>
            <w:tcW w:type="pct" w:w="33%"/>
            <w:shd w:fill="F4F6FA" w:val="clear"/>
          </w:tcPr>
          <w:p>
            <w:r>
              <w:rPr>
                <w:b w:val="false"/>
                <w:bCs w:val="false"/>
                <w:color w:val="000000"/>
                <w:sz w:val="20"/>
                <w:szCs w:val="20"/>
              </w:rPr>
              <w:t xml:space="preserve">Spécifications gérées</w:t>
            </w:r>
          </w:p>
        </w:tc>
        <w:tc>
          <w:tcPr>
            <w:tcW w:type="pct" w:w="33%"/>
            <w:shd w:fill="F4F6FA" w:val="clear"/>
          </w:tcPr>
          <w:p>
            <w:r>
              <w:rPr>
                <w:b w:val="false"/>
                <w:bCs w:val="false"/>
                <w:color w:val="000000"/>
                <w:sz w:val="20"/>
                <w:szCs w:val="20"/>
              </w:rPr>
              <w:t xml:space="preserve">Servlets, JSP, WebSocket (profil web)</w:t>
            </w:r>
          </w:p>
        </w:tc>
        <w:tc>
          <w:tcPr>
            <w:tcW w:type="pct" w:w="33%"/>
            <w:shd w:fill="F4F6FA" w:val="clear"/>
          </w:tcPr>
          <w:p>
            <w:r>
              <w:rPr>
                <w:b w:val="false"/>
                <w:bCs w:val="false"/>
                <w:color w:val="000000"/>
                <w:sz w:val="20"/>
                <w:szCs w:val="20"/>
              </w:rPr>
              <w:t xml:space="preserve">Suite Jakarta EE complète</w:t>
            </w:r>
          </w:p>
        </w:tc>
      </w:tr>
      <w:tr>
        <w:tc>
          <w:tcPr>
            <w:tcW w:type="pct" w:w="33%"/>
          </w:tcPr>
          <w:p>
            <w:r>
              <w:rPr>
                <w:b w:val="false"/>
                <w:bCs w:val="false"/>
                <w:color w:val="000000"/>
                <w:sz w:val="20"/>
                <w:szCs w:val="20"/>
              </w:rPr>
              <w:t xml:space="preserve">EJB (Enterprise JavaBeans)</w:t>
            </w:r>
          </w:p>
        </w:tc>
        <w:tc>
          <w:tcPr>
            <w:tcW w:type="pct" w:w="33%"/>
          </w:tcPr>
          <w:p>
            <w:r>
              <w:rPr>
                <w:b w:val="false"/>
                <w:bCs w:val="false"/>
                <w:color w:val="000000"/>
                <w:sz w:val="20"/>
                <w:szCs w:val="20"/>
              </w:rPr>
              <w:t xml:space="preserve">Non supporté nativement</w:t>
            </w:r>
          </w:p>
        </w:tc>
        <w:tc>
          <w:tcPr>
            <w:tcW w:type="pct" w:w="33%"/>
          </w:tcPr>
          <w:p>
            <w:r>
              <w:rPr>
                <w:b w:val="false"/>
                <w:bCs w:val="false"/>
                <w:color w:val="000000"/>
                <w:sz w:val="20"/>
                <w:szCs w:val="20"/>
              </w:rPr>
              <w:t xml:space="preserve">Supporté</w:t>
            </w:r>
          </w:p>
        </w:tc>
      </w:tr>
      <w:tr>
        <w:tc>
          <w:tcPr>
            <w:tcW w:type="pct" w:w="33%"/>
            <w:shd w:fill="F4F6FA" w:val="clear"/>
          </w:tcPr>
          <w:p>
            <w:r>
              <w:rPr>
                <w:b w:val="false"/>
                <w:bCs w:val="false"/>
                <w:color w:val="000000"/>
                <w:sz w:val="20"/>
                <w:szCs w:val="20"/>
              </w:rPr>
              <w:t xml:space="preserve">JMS (messagerie)</w:t>
            </w:r>
          </w:p>
        </w:tc>
        <w:tc>
          <w:tcPr>
            <w:tcW w:type="pct" w:w="33%"/>
            <w:shd w:fill="F4F6FA" w:val="clear"/>
          </w:tcPr>
          <w:p>
            <w:r>
              <w:rPr>
                <w:b w:val="false"/>
                <w:bCs w:val="false"/>
                <w:color w:val="000000"/>
                <w:sz w:val="20"/>
                <w:szCs w:val="20"/>
              </w:rPr>
              <w:t xml:space="preserve">Non supporté nativement</w:t>
            </w:r>
          </w:p>
        </w:tc>
        <w:tc>
          <w:tcPr>
            <w:tcW w:type="pct" w:w="33%"/>
            <w:shd w:fill="F4F6FA" w:val="clear"/>
          </w:tcPr>
          <w:p>
            <w:r>
              <w:rPr>
                <w:b w:val="false"/>
                <w:bCs w:val="false"/>
                <w:color w:val="000000"/>
                <w:sz w:val="20"/>
                <w:szCs w:val="20"/>
              </w:rPr>
              <w:t xml:space="preserve">Supporté</w:t>
            </w:r>
          </w:p>
        </w:tc>
      </w:tr>
      <w:tr>
        <w:tc>
          <w:tcPr>
            <w:tcW w:type="pct" w:w="33%"/>
          </w:tcPr>
          <w:p>
            <w:r>
              <w:rPr>
                <w:b w:val="false"/>
                <w:bCs w:val="false"/>
                <w:color w:val="000000"/>
                <w:sz w:val="20"/>
                <w:szCs w:val="20"/>
              </w:rPr>
              <w:t xml:space="preserve">JTA (transactions distribuées)</w:t>
            </w:r>
          </w:p>
        </w:tc>
        <w:tc>
          <w:tcPr>
            <w:tcW w:type="pct" w:w="33%"/>
          </w:tcPr>
          <w:p>
            <w:r>
              <w:rPr>
                <w:b w:val="false"/>
                <w:bCs w:val="false"/>
                <w:color w:val="000000"/>
                <w:sz w:val="20"/>
                <w:szCs w:val="20"/>
              </w:rPr>
              <w:t xml:space="preserve">Non supporté nativement</w:t>
            </w:r>
          </w:p>
        </w:tc>
        <w:tc>
          <w:tcPr>
            <w:tcW w:type="pct" w:w="33%"/>
          </w:tcPr>
          <w:p>
            <w:r>
              <w:rPr>
                <w:b w:val="false"/>
                <w:bCs w:val="false"/>
                <w:color w:val="000000"/>
                <w:sz w:val="20"/>
                <w:szCs w:val="20"/>
              </w:rPr>
              <w:t xml:space="preserve">Supporté</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2026-09-23T22:48:43.871Z</dcterms:created>
  <dcterms:modified xsi:type="dcterms:W3CDTF">2026-09-23T22:48:43.871Z</dcterms:modified>
</cp:coreProperties>
</file>

<file path=docProps/custom.xml><?xml version="1.0" encoding="utf-8"?>
<Properties xmlns="http://schemas.openxmlformats.org/officeDocument/2006/custom-properties" xmlns:vt="http://schemas.openxmlformats.org/officeDocument/2006/docPropsVTypes"/>
</file>