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2E4099" w:sz="6" w:space="4"/>
        </w:pBdr>
        <w:spacing w:after="60" w:before="0"/>
        <w:jc w:val="center"/>
      </w:pPr>
      <w:r>
        <w:rPr>
          <w:rFonts w:ascii="Arial" w:cs="Arial" w:eastAsia="Arial" w:hAnsi="Arial"/>
          <w:b/>
          <w:bCs/>
          <w:color w:val="2E4099"/>
          <w:sz w:val="26"/>
          <w:szCs w:val="26"/>
        </w:rPr>
        <w:t xml:space="preserve">NYANSAPO — GROUP 1</w:t>
      </w:r>
    </w:p>
    <w:p>
      <w:pPr>
        <w:spacing w:after="60" w:before="60"/>
        <w:jc w:val="center"/>
      </w:pPr>
      <w:r>
        <w:rPr>
          <w:rFonts w:ascii="Arial" w:cs="Arial" w:eastAsia="Arial" w:hAnsi="Arial"/>
          <w:b/>
          <w:bCs/>
          <w:color w:val="1F3070"/>
          <w:sz w:val="22"/>
          <w:szCs w:val="22"/>
        </w:rPr>
        <w:t xml:space="preserve">METHODS SECTION — VERIFICATION RESUBMISSION (R02)</w:t>
      </w:r>
    </w:p>
    <w:p>
      <w:pPr>
        <w:spacing w:after="120" w:before="0"/>
        <w:jc w:val="center"/>
      </w:pPr>
      <w:r>
        <w:rPr>
          <w:rFonts w:ascii="Arial" w:cs="Arial" w:eastAsia="Arial" w:hAnsi="Arial"/>
          <w:color w:val="666666"/>
          <w:sz w:val="18"/>
          <w:szCs w:val="18"/>
        </w:rPr>
        <w:t xml:space="preserve">Agyei Michael Addai (20918643) · Akyen Abban Maxwell (20921083) · Ajuitey Prince Awonaab (20921418) · Anorchie Michelle Frimpomaah (20919895) · Opoku Kwaku Kelvin (20922337)</w:t>
      </w:r>
    </w:p>
    <w:p>
      <w:pPr>
        <w:pBdr>
          <w:bottom w:val="single" w:color="CCCCCC" w:sz="2" w:space="4"/>
        </w:pBdr>
        <w:spacing w:after="180" w:before="0"/>
        <w:jc w:val="center"/>
      </w:pPr>
      <w:r>
        <w:rPr>
          <w:rFonts w:ascii="Arial" w:cs="Arial" w:eastAsia="Arial" w:hAnsi="Arial"/>
          <w:i/>
          <w:iCs/>
          <w:color w:val="666666"/>
          <w:sz w:val="16"/>
          <w:szCs w:val="16"/>
        </w:rPr>
        <w:t xml:space="preserve">Supervisor: Dr. Eric Opoku Osei · KNUST Department of Computer Science · Corrections applied following automated verification audit</w:t>
      </w:r>
    </w:p>
    <w:p>
      <w:pPr>
        <w:pStyle w:val="Heading1"/>
        <w:spacing w:after="100" w:before="300"/>
      </w:pPr>
      <w:r>
        <w:rPr>
          <w:rFonts w:ascii="Arial" w:cs="Arial" w:eastAsia="Arial" w:hAnsi="Arial"/>
          <w:b/>
          <w:bCs/>
          <w:color w:val="2E4099"/>
          <w:sz w:val="26"/>
          <w:szCs w:val="26"/>
        </w:rPr>
        <w:t xml:space="preserve">CORRECTIONS LEDGER — CHANGES SINCE R01</w:t>
      </w:r>
    </w:p>
    <w:p>
      <w:pPr>
        <w:spacing w:after="80" w:before="80" w:line="300"/>
        <w:jc w:val="both"/>
      </w:pPr>
      <w:r>
        <w:rPr>
          <w:rFonts w:ascii="Arial" w:cs="Arial" w:eastAsia="Arial" w:hAnsi="Arial"/>
          <w:sz w:val="21"/>
          <w:szCs w:val="21"/>
        </w:rPr>
        <w:t xml:space="preserve">The following corrections were made in direct response to the verification report (57.4% compliance, NOT CLEARED) and the accompanying closeout audit script (RUN-GROUP_1-20260913), executed against the live notebook on 13 September 2026.</w:t>
      </w:r>
    </w:p>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80"/>
        <w:gridCol w:w="2280"/>
        <w:gridCol w:w="1000"/>
      </w:tblGrid>
      <w:tr>
        <w:trPr>
          <w:tblHeader/>
        </w:trPr>
        <w:tc>
          <w:tcPr>
            <w:tcW w:type="dxa" w:w="140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r>
              <w:rPr>
                <w:rFonts w:ascii="Arial" w:cs="Arial" w:eastAsia="Arial" w:hAnsi="Arial"/>
                <w:b/>
                <w:bCs/>
                <w:color w:val="FFFFFF"/>
                <w:sz w:val="18"/>
                <w:szCs w:val="18"/>
              </w:rPr>
              <w:t xml:space="preserve">Cause</w:t>
            </w:r>
          </w:p>
        </w:tc>
        <w:tc>
          <w:tcPr>
            <w:tcW w:type="dxa" w:w="240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r>
              <w:rPr>
                <w:rFonts w:ascii="Arial" w:cs="Arial" w:eastAsia="Arial" w:hAnsi="Arial"/>
                <w:b/>
                <w:bCs/>
                <w:color w:val="FFFFFF"/>
                <w:sz w:val="18"/>
                <w:szCs w:val="18"/>
              </w:rPr>
              <w:t xml:space="preserve">Confirmed By</w:t>
            </w:r>
          </w:p>
        </w:tc>
        <w:tc>
          <w:tcPr>
            <w:tcW w:type="dxa" w:w="228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r>
              <w:rPr>
                <w:rFonts w:ascii="Arial" w:cs="Arial" w:eastAsia="Arial" w:hAnsi="Arial"/>
                <w:b/>
                <w:bCs/>
                <w:color w:val="FFFFFF"/>
                <w:sz w:val="18"/>
                <w:szCs w:val="18"/>
              </w:rPr>
              <w:t xml:space="preserve">Fix Applied</w:t>
            </w:r>
          </w:p>
        </w:tc>
        <w:tc>
          <w:tcPr>
            <w:tcW w:type="dxa" w:w="228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r>
              <w:rPr>
                <w:rFonts w:ascii="Arial" w:cs="Arial" w:eastAsia="Arial" w:hAnsi="Arial"/>
                <w:b/>
                <w:bCs/>
                <w:color w:val="FFFFFF"/>
                <w:sz w:val="18"/>
                <w:szCs w:val="18"/>
              </w:rPr>
              <w:t xml:space="preserve">Before</w:t>
            </w:r>
          </w:p>
        </w:tc>
        <w:tc>
          <w:tcPr>
            <w:tcW w:type="dxa" w:w="1000"/>
            <w:tcBorders>
              <w:top w:val="single" w:color="2E4099" w:sz="1"/>
              <w:left w:val="single" w:color="2E4099" w:sz="1"/>
              <w:bottom w:val="single" w:color="2E4099" w:sz="1"/>
              <w:right w:val="single" w:color="2E4099" w:sz="1"/>
            </w:tcBorders>
            <w:shd w:fill="2E4099" w:val="clear"/>
            <w:tcMar>
              <w:top w:type="dxa" w:w="70"/>
              <w:left w:type="dxa" w:w="100"/>
              <w:bottom w:type="dxa" w:w="70"/>
              <w:right w:type="dxa" w:w="100"/>
            </w:tcMar>
          </w:tcPr>
          <w:p>
            <w:r>
              <w:rPr>
                <w:rFonts w:ascii="Arial" w:cs="Arial" w:eastAsia="Arial" w:hAnsi="Arial"/>
                <w:b/>
                <w:bCs/>
                <w:color w:val="FFFFFF"/>
                <w:sz w:val="18"/>
                <w:szCs w:val="18"/>
              </w:rPr>
              <w:t xml:space="preserve">After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C1 (11)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V1e static leak scan — pre-split fit confirmed</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TfidfVectorizer moved inside train_model_v2; fits on training partition only per seed. Class weights recomputed from training-partition count.</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Macro F1 0.6214±0.1559 (leaked)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0.7074±0.1306</w:t>
            </w:r>
          </w:p>
        </w:tc>
      </w:tr>
      <w:tr>
        <w:tc>
          <w:tcPr>
            <w:tcW w:type="dxa" w:w="14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C1 (11)</w:t>
            </w:r>
          </w:p>
        </w:tc>
        <w:tc>
          <w:tcPr>
            <w:tcW w:type="dxa" w:w="24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w:t>
            </w:r>
          </w:p>
        </w:tc>
        <w:tc>
          <w:tcPr>
            <w:tcW w:type="dxa" w:w="228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w:t>
            </w:r>
          </w:p>
        </w:tc>
        <w:tc>
          <w:tcPr>
            <w:tcW w:type="dxa" w:w="228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Baseline 0.1975±0.0820</w:t>
            </w:r>
          </w:p>
        </w:tc>
        <w:tc>
          <w:tcPr>
            <w:tcW w:type="dxa" w:w="10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0.1976±0.0836</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C1 (11)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p=0.000002, d=2.175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p=0.000088, d=3.0005</w:t>
            </w:r>
          </w:p>
        </w:tc>
      </w:tr>
      <w:tr>
        <w:tc>
          <w:tcPr>
            <w:tcW w:type="dxa" w:w="14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F8 (12)</w:t>
            </w:r>
          </w:p>
        </w:tc>
        <w:tc>
          <w:tcPr>
            <w:tcW w:type="dxa" w:w="24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V3 pairing scan — 0 of 22 rows correctly paired</w:t>
            </w:r>
          </w:p>
        </w:tc>
        <w:tc>
          <w:tcPr>
            <w:tcW w:type="dxa" w:w="228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Perturbation harness rebuilt to reuse the exact trained model and test-fold indices from the seed-123 run; verified by self-test (Original F1 = tf1 at seed 123).</w:t>
            </w:r>
          </w:p>
        </w:tc>
        <w:tc>
          <w:tcPr>
            <w:tcW w:type="dxa" w:w="228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0/22 paired, Original F1=0.1278 (invalid)</w:t>
            </w:r>
          </w:p>
        </w:tc>
        <w:tc>
          <w:tcPr>
            <w:tcW w:type="dxa" w:w="1000"/>
            <w:tcBorders>
              <w:top w:val="single" w:color="CCCCCC" w:sz="1"/>
              <w:left w:val="single" w:color="CCCCCC" w:sz="1"/>
              <w:bottom w:val="single" w:color="CCCCCC" w:sz="1"/>
              <w:right w:val="single" w:color="CCCCCC" w:sz="1"/>
            </w:tcBorders>
            <w:shd w:fill="EEF2FF" w:val="clear"/>
            <w:tcMar>
              <w:top w:type="dxa" w:w="60"/>
              <w:left w:type="dxa" w:w="100"/>
              <w:bottom w:type="dxa" w:w="60"/>
              <w:right w:type="dxa" w:w="100"/>
            </w:tcMar>
            <w:vAlign w:val="top"/>
          </w:tcPr>
          <w:p>
            <w:pPr>
              <w:spacing w:after="30" w:before="30"/>
            </w:pPr>
            <w:r>
              <w:rPr>
                <w:rFonts w:ascii="Arial" w:cs="Arial" w:eastAsia="Arial" w:hAnsi="Arial"/>
                <w:sz w:val="18"/>
                <w:szCs w:val="18"/>
              </w:rPr>
              <w:t xml:space="preserve">22/22 paired, Original F1=0.7107 (self-test verified)</w:t>
            </w:r>
          </w:p>
        </w:tc>
      </w:tr>
    </w:tbl>
    <w:p>
      <w:pPr>
        <w:spacing w:after="4" w:before="4"/>
      </w:pPr>
      <w:r>
        <w:t xml:space="preserve"/>
      </w:r>
    </w:p>
    <w:p>
      <w:pPr>
        <w:spacing w:after="80" w:before="80" w:line="300"/>
        <w:jc w:val="both"/>
      </w:pPr>
      <w:r>
        <w:rPr>
          <w:rFonts w:ascii="Arial" w:cs="Arial" w:eastAsia="Arial" w:hAnsi="Arial"/>
          <w:sz w:val="21"/>
          <w:szCs w:val="21"/>
        </w:rPr>
        <w:t xml:space="preserve">Six items closed without requiring a re-run: F1 (5-fold CV and fairness-by-topic tables, both regenerated against gold answers and reported in Results §R8/§R9), C3 (zero empty generations confirmed across all four systems), and the split-size discrepancy (Methods corrected from 102/21/22 to the code-verified 101/22/22).</w:t>
      </w:r>
    </w:p>
    <w:p>
      <w:r>
        <w:br w:type="page"/>
      </w:r>
    </w:p>
    <w:p>
      <w:pPr>
        <w:pStyle w:val="Heading1"/>
        <w:spacing w:after="100" w:before="300"/>
      </w:pPr>
      <w:r>
        <w:rPr>
          <w:rFonts w:ascii="Arial" w:cs="Arial" w:eastAsia="Arial" w:hAnsi="Arial"/>
          <w:b/>
          <w:bCs/>
          <w:color w:val="2E4099"/>
          <w:sz w:val="26"/>
          <w:szCs w:val="26"/>
        </w:rPr>
        <w:t xml:space="preserve">1. RESEARCH TITLE, PROBLEM STATEMENT &amp; OBJECTIVES</w:t>
      </w:r>
    </w:p>
    <w:p>
      <w:pPr>
        <w:pStyle w:val="Heading2"/>
        <w:spacing w:after="80" w:before="200"/>
      </w:pPr>
      <w:r>
        <w:rPr>
          <w:rFonts w:ascii="Arial" w:cs="Arial" w:eastAsia="Arial" w:hAnsi="Arial"/>
          <w:b/>
          <w:bCs/>
          <w:color w:val="1F3070"/>
          <w:sz w:val="22"/>
          <w:szCs w:val="22"/>
        </w:rPr>
        <w:t xml:space="preserve">1.1 Problem Statement</w:t>
      </w:r>
    </w:p>
    <w:p>
      <w:pPr>
        <w:spacing w:after="80" w:before="80" w:line="300"/>
        <w:jc w:val="both"/>
      </w:pPr>
      <w:r>
        <w:rPr>
          <w:rFonts w:ascii="Arial" w:cs="Arial" w:eastAsia="Arial" w:hAnsi="Arial"/>
          <w:sz w:val="21"/>
          <w:szCs w:val="21"/>
        </w:rPr>
        <w:t xml:space="preserve">Access to personalised academic support in high-enrolment lecture halls, which often exceed 500 students in sub-Saharan higher education, remains a persistent challenge (UNESCO, 2024). Standard Large Language Models (LLMs) deployed for student support frequently generate hallucinations — factually incorrect but plausible-sounding information — which poses significant pedagogical risks in high-stakes educational environments (Ji et al., 2023). This problem is compounded by an infrastructure challenge unique to African universities: intermittent internet connectivity means that cloud-dependent AI systems are unavailable precisely when students most need them (Amadiok et al., 2025). Naive Retrieval-Augmented Generation (RAG) pipelines (Lewis et al., 2020) partially address hallucination by grounding LLM outputs in retrieved documents; however, when retrieval quality is poor, incorrect chunks are still passed to the generator and hallucinations persist — a known failure mode that Corrective RAG (Yan et al., 2024) is designed to address.</w:t>
      </w:r>
    </w:p>
    <w:p>
      <w:pPr>
        <w:spacing w:after="6" w:before="6"/>
      </w:pPr>
      <w:r>
        <w:t xml:space="preserve"/>
      </w:r>
    </w:p>
    <w:p>
      <w:pPr>
        <w:pStyle w:val="Heading2"/>
        <w:spacing w:after="80" w:before="200"/>
      </w:pPr>
      <w:r>
        <w:rPr>
          <w:rFonts w:ascii="Arial" w:cs="Arial" w:eastAsia="Arial" w:hAnsi="Arial"/>
          <w:b/>
          <w:bCs/>
          <w:color w:val="1F3070"/>
          <w:sz w:val="22"/>
          <w:szCs w:val="22"/>
        </w:rPr>
        <w:t xml:space="preserve">1.2 Research Objectives</w:t>
      </w:r>
    </w:p>
    <w:p>
      <w:pPr>
        <w:spacing w:after="80" w:before="80" w:line="300"/>
        <w:jc w:val="both"/>
      </w:pPr>
      <w:r>
        <w:rPr>
          <w:rFonts w:ascii="Arial" w:cs="Arial" w:eastAsia="Arial" w:hAnsi="Arial"/>
          <w:b/>
          <w:bCs/>
          <w:sz w:val="21"/>
          <w:szCs w:val="21"/>
        </w:rPr>
        <w:t xml:space="preserve">Objective 1 (Model Engineering): </w:t>
      </w:r>
      <w:r>
        <w:rPr>
          <w:rFonts w:ascii="Arial" w:cs="Arial" w:eastAsia="Arial" w:hAnsi="Arial"/>
          <w:sz w:val="21"/>
          <w:szCs w:val="21"/>
        </w:rPr>
        <w:t xml:space="preserve">To engineer the Nyansapo-QIC-WCE, in which standard cross-entropy loss is replaced with a weighted cross-entropy loss function assigning class penalty weights derived from training-partition class frequency, and to evaluate Macro F1 relative to the baseline Nyansapo-QIC across 20 seeded runs.</w:t>
      </w:r>
    </w:p>
    <w:p>
      <w:pPr>
        <w:spacing w:after="4" w:before="4"/>
      </w:pPr>
      <w:r>
        <w:t xml:space="preserve"/>
      </w:r>
    </w:p>
    <w:p>
      <w:pPr>
        <w:spacing w:after="80" w:before="80" w:line="300"/>
        <w:jc w:val="both"/>
      </w:pPr>
      <w:r>
        <w:rPr>
          <w:rFonts w:ascii="Arial" w:cs="Arial" w:eastAsia="Arial" w:hAnsi="Arial"/>
          <w:b/>
          <w:bCs/>
          <w:sz w:val="21"/>
          <w:szCs w:val="21"/>
        </w:rPr>
        <w:t xml:space="preserve">Objective 2 (System Evaluation): </w:t>
      </w:r>
      <w:r>
        <w:rPr>
          <w:rFonts w:ascii="Arial" w:cs="Arial" w:eastAsia="Arial" w:hAnsi="Arial"/>
          <w:sz w:val="21"/>
          <w:szCs w:val="21"/>
        </w:rPr>
        <w:t xml:space="preserve">To evaluate the accuracy and contextual relevance of the Nyansapo CRAG system's responses compared to a naive RAG baseline, a general-purpose LLM, and a BM25-only baseline, using BERTScore F1, ROUGE-L, fairness-by-topic, and 5-fold cross-validation on 200 human-annotated gold-standard QA pairs.</w:t>
      </w:r>
    </w:p>
    <w:p>
      <w:pPr>
        <w:spacing w:after="4" w:before="4"/>
      </w:pPr>
      <w:r>
        <w:t xml:space="preserve"/>
      </w:r>
    </w:p>
    <w:p>
      <w:pPr>
        <w:spacing w:after="80" w:before="80" w:line="300"/>
        <w:jc w:val="both"/>
      </w:pPr>
      <w:r>
        <w:rPr>
          <w:rFonts w:ascii="Arial" w:cs="Arial" w:eastAsia="Arial" w:hAnsi="Arial"/>
          <w:b/>
          <w:bCs/>
          <w:sz w:val="21"/>
          <w:szCs w:val="21"/>
        </w:rPr>
        <w:t xml:space="preserve">Objective 3 (Deployment): </w:t>
      </w:r>
      <w:r>
        <w:rPr>
          <w:rFonts w:ascii="Arial" w:cs="Arial" w:eastAsia="Arial" w:hAnsi="Arial"/>
          <w:sz w:val="21"/>
          <w:szCs w:val="21"/>
        </w:rPr>
        <w:t xml:space="preserve">To measure system inference latency under online and offline deployment modes, and to evaluate real-world student trust and cognitive load with a field study of n = 298 KNUST students.</w:t>
      </w:r>
    </w:p>
    <w:p>
      <w:r>
        <w:br w:type="page"/>
      </w:r>
    </w:p>
    <w:p>
      <w:pPr>
        <w:pStyle w:val="Heading1"/>
        <w:spacing w:after="100" w:before="300"/>
      </w:pPr>
      <w:r>
        <w:rPr>
          <w:rFonts w:ascii="Arial" w:cs="Arial" w:eastAsia="Arial" w:hAnsi="Arial"/>
          <w:b/>
          <w:bCs/>
          <w:color w:val="2E4099"/>
          <w:sz w:val="26"/>
          <w:szCs w:val="26"/>
        </w:rPr>
        <w:t xml:space="preserve">2. METHODOLOGY</w:t>
      </w:r>
    </w:p>
    <w:p>
      <w:pPr>
        <w:pStyle w:val="Heading2"/>
        <w:spacing w:after="80" w:before="200"/>
      </w:pPr>
      <w:r>
        <w:rPr>
          <w:rFonts w:ascii="Arial" w:cs="Arial" w:eastAsia="Arial" w:hAnsi="Arial"/>
          <w:b/>
          <w:bCs/>
          <w:color w:val="1F3070"/>
          <w:sz w:val="22"/>
          <w:szCs w:val="22"/>
        </w:rPr>
        <w:t xml:space="preserve">2.1 System Architecture Overview</w:t>
      </w:r>
    </w:p>
    <w:p>
      <w:pPr>
        <w:spacing w:after="80" w:before="80" w:line="300"/>
        <w:jc w:val="both"/>
      </w:pPr>
      <w:r>
        <w:rPr>
          <w:rFonts w:ascii="Arial" w:cs="Arial" w:eastAsia="Arial" w:hAnsi="Arial"/>
          <w:sz w:val="21"/>
          <w:szCs w:val="21"/>
        </w:rPr>
        <w:t xml:space="preserve">The Nyansapo system is a five-stage AI tutoring pipeline. A student query is first routed through the Nyansapo-QIC-WCE intent classifier, which assigns one of five intent labels and blocks out-of-scope queries before retrieval. In-scope queries pass to a hybrid BM25+dense RRF retrieval engine (Cormack et al., 2009) searching a FAISS-indexed knowledge base of 12,311 chunks. Retrieved chunks are evaluated by the Corrective RAG evaluator (Yan et al., 2024), which triggers query rewriting when quality falls below a calibrated threshold. The answer is generated by Phi-2 (online) or Phi-4-mini (offline) and returned with the source chunk.</w:t>
      </w:r>
    </w:p>
    <w:p>
      <w:pPr>
        <w:pStyle w:val="Heading2"/>
        <w:spacing w:after="80" w:before="200"/>
      </w:pPr>
      <w:r>
        <w:rPr>
          <w:rFonts w:ascii="Arial" w:cs="Arial" w:eastAsia="Arial" w:hAnsi="Arial"/>
          <w:b/>
          <w:bCs/>
          <w:color w:val="1F3070"/>
          <w:sz w:val="22"/>
          <w:szCs w:val="22"/>
        </w:rPr>
        <w:t xml:space="preserve">2.2 Model Engineering Contribution: Nyansapo-QIC-WCE</w:t>
      </w:r>
    </w:p>
    <w:p>
      <w:pPr>
        <w:pStyle w:val="Heading3"/>
        <w:spacing w:after="60" w:before="160"/>
      </w:pPr>
      <w:r>
        <w:rPr>
          <w:rFonts w:ascii="Arial" w:cs="Arial" w:eastAsia="Arial" w:hAnsi="Arial"/>
          <w:b/>
          <w:bCs/>
          <w:color w:val="1F3070"/>
          <w:sz w:val="21"/>
          <w:szCs w:val="21"/>
        </w:rPr>
        <w:t xml:space="preserve">2.2.1 Empirical Diagnostic</w:t>
      </w:r>
    </w:p>
    <w:p>
      <w:pPr>
        <w:spacing w:after="80" w:before="80" w:line="300"/>
        <w:jc w:val="both"/>
      </w:pPr>
      <w:r>
        <w:rPr>
          <w:rFonts w:ascii="Arial" w:cs="Arial" w:eastAsia="Arial" w:hAnsi="Arial"/>
          <w:sz w:val="21"/>
          <w:szCs w:val="21"/>
        </w:rPr>
        <w:t xml:space="preserve">A baseline Nyansapo-QIC trained with standard cross-entropy achieved a mean Macro F1 of 0.1976 (±0.0836) across 20 seeded runs, with per-class recall collapsing to 0.00 on the Explanation and Identification classes at seed 42 despite an overall macro F1 that appeared moderate at some seeds. This class-collapse behaviour, where the classifier defaults to the majority Definition class (83/145 training examples, 57.2%), is the empirical diagnostic motivating the weighted cross-entropy intervention.</w:t>
      </w:r>
    </w:p>
    <w:p>
      <w:pPr>
        <w:pStyle w:val="Heading3"/>
        <w:spacing w:after="60" w:before="160"/>
      </w:pPr>
      <w:r>
        <w:rPr>
          <w:rFonts w:ascii="Arial" w:cs="Arial" w:eastAsia="Arial" w:hAnsi="Arial"/>
          <w:b/>
          <w:bCs/>
          <w:color w:val="1F3070"/>
          <w:sz w:val="21"/>
          <w:szCs w:val="21"/>
        </w:rPr>
        <w:t xml:space="preserve">2.2.2 Engineering Operation: REPLACE</w:t>
      </w:r>
    </w:p>
    <w:p>
      <w:pPr>
        <w:spacing w:after="80" w:before="80" w:line="300"/>
        <w:jc w:val="both"/>
      </w:pPr>
      <w:r>
        <w:rPr>
          <w:rFonts w:ascii="Arial" w:cs="Arial" w:eastAsia="Arial" w:hAnsi="Arial"/>
          <w:sz w:val="21"/>
          <w:szCs w:val="21"/>
        </w:rPr>
        <w:t xml:space="preserve">The proposed operation is REPLACE: the standard cross-entropy loss L_CE = −Σ yᵢ · log(pᵢ) is substituted with a weighted cross-entropy loss L_WCE = −Σ wᵢ · yᵢ · log(pᵢ), where wᵢ = N_train / (C × Nᵢ). N_train is the number of examples in the training partition for the given random split (n=101, seed-dependent), C = 5 intent classes, and Nᵢ is the training-partition count for class i. Class weights are therefore recomputed independently within each of the 20 seeded runs, from that run's own training partition only — the vectoriser and the class-weight denominator are both scoped strictly to the training fold, closing the pre-split fitting defect identified in an earlier verification pass (confirmed via static code scan and a vocabulary-size self-test comparing a full-dataset fit against a training-only fit).</w:t>
      </w:r>
    </w:p>
    <w:p>
      <w:pPr>
        <w:pStyle w:val="Heading3"/>
        <w:spacing w:after="60" w:before="160"/>
      </w:pPr>
      <w:r>
        <w:rPr>
          <w:rFonts w:ascii="Arial" w:cs="Arial" w:eastAsia="Arial" w:hAnsi="Arial"/>
          <w:b/>
          <w:bCs/>
          <w:color w:val="1F3070"/>
          <w:sz w:val="21"/>
          <w:szCs w:val="21"/>
        </w:rPr>
        <w:t xml:space="preserve">2.2.3 Classifier Architecture</w:t>
      </w:r>
    </w:p>
    <w:p>
      <w:pPr>
        <w:spacing w:after="80" w:before="80" w:line="300"/>
        <w:jc w:val="both"/>
      </w:pPr>
      <w:r>
        <w:rPr>
          <w:rFonts w:ascii="Arial" w:cs="Arial" w:eastAsia="Arial" w:hAnsi="Arial"/>
          <w:sz w:val="21"/>
          <w:szCs w:val="21"/>
        </w:rPr>
        <w:t xml:space="preserve">A two-hidden-layer feedforward network: Input(500 TF-IDF features) → Linear(256) → ReLU → Dropout(0.3) → Linear(128) → ReLU → Dropout(0.3) → Linear(5) → Softmax. TF-IDF vectorisation (max_features=500, ngram_range=(1,2)) is fitted on the training partition only, per seeded run, and applied unchanged to validation and test partitions. Optimiser: Adam (lr=0.001, weight_decay=1×10⁻⁴). Max 200 epochs, early stopping patience=15, monitored on validation Macro F1 only.</w:t>
      </w:r>
    </w:p>
    <w:p>
      <w:pPr>
        <w:pStyle w:val="Heading2"/>
        <w:spacing w:after="80" w:before="200"/>
      </w:pPr>
      <w:r>
        <w:rPr>
          <w:rFonts w:ascii="Arial" w:cs="Arial" w:eastAsia="Arial" w:hAnsi="Arial"/>
          <w:b/>
          <w:bCs/>
          <w:color w:val="1F3070"/>
          <w:sz w:val="22"/>
          <w:szCs w:val="22"/>
        </w:rPr>
        <w:t xml:space="preserve">2.3 Dataset Construction</w:t>
      </w:r>
    </w:p>
    <w:p>
      <w:pPr>
        <w:pStyle w:val="Heading3"/>
        <w:spacing w:after="60" w:before="160"/>
      </w:pPr>
      <w:r>
        <w:rPr>
          <w:rFonts w:ascii="Arial" w:cs="Arial" w:eastAsia="Arial" w:hAnsi="Arial"/>
          <w:b/>
          <w:bCs/>
          <w:color w:val="1F3070"/>
          <w:sz w:val="21"/>
          <w:szCs w:val="21"/>
        </w:rPr>
        <w:t xml:space="preserve">2.3.1 Intent Classification Training Dataset</w:t>
      </w:r>
    </w:p>
    <w:p>
      <w:pPr>
        <w:spacing w:after="80" w:before="80" w:line="300"/>
        <w:jc w:val="both"/>
      </w:pPr>
      <w:r>
        <w:rPr>
          <w:rFonts w:ascii="Arial" w:cs="Arial" w:eastAsia="Arial" w:hAnsi="Arial"/>
          <w:sz w:val="21"/>
          <w:szCs w:val="21"/>
        </w:rPr>
        <w:t xml:space="preserve">145 labelled student queries: 100 extracted from the Nyansapo evaluation log via rule-based lexical labelling, and 45 manually constructed to ensure coverage of underrepresented classes (Identification n=5, Out-of-scope n=10). A stratified hold-out split allocates 15% to test (n=22, fixed across all reporting), with the remaining 85% further split 82.4%/17.6% into training and validation. For seed 42, this produces training n=101 and validation n=22; exact counts vary marginally by seed due to stratified rounding, and all counts reported in Results are taken directly from the code's printed output rather than assumed.</w:t>
      </w:r>
    </w:p>
    <w:p>
      <w:pPr>
        <w:pStyle w:val="Heading3"/>
        <w:spacing w:after="60" w:before="160"/>
      </w:pPr>
      <w:r>
        <w:rPr>
          <w:rFonts w:ascii="Arial" w:cs="Arial" w:eastAsia="Arial" w:hAnsi="Arial"/>
          <w:b/>
          <w:bCs/>
          <w:color w:val="1F3070"/>
          <w:sz w:val="21"/>
          <w:szCs w:val="21"/>
        </w:rPr>
        <w:t xml:space="preserve">2.3.2 RAG Evaluation Corpus</w:t>
      </w:r>
    </w:p>
    <w:p>
      <w:pPr>
        <w:spacing w:after="80" w:before="80" w:line="300"/>
        <w:jc w:val="both"/>
      </w:pPr>
      <w:r>
        <w:rPr>
          <w:rFonts w:ascii="Arial" w:cs="Arial" w:eastAsia="Arial" w:hAnsi="Arial"/>
          <w:sz w:val="21"/>
          <w:szCs w:val="21"/>
        </w:rPr>
        <w:t xml:space="preserve">200 gold-standard QA pairs were curated from KNUST course exam materials, answer keys, and lecture slides across five courses (CSM 478 Computer Networks, MCS 472 Fundamentals of Entrepreneurship, Computer Security and Penetration Testing, Expert Systems, Introduction to Compilers), 40 pairs per course. Two team members independently reviewed 20% of pairs against source documents, achieving 93.3% raw agreement. The knowledge base comprises 12,311 chunks (300 tokens, 50-token overlap) from KNUST lecture slides.</w:t>
      </w:r>
    </w:p>
    <w:p>
      <w:pPr>
        <w:pStyle w:val="Heading2"/>
        <w:spacing w:after="80" w:before="200"/>
      </w:pPr>
      <w:r>
        <w:rPr>
          <w:rFonts w:ascii="Arial" w:cs="Arial" w:eastAsia="Arial" w:hAnsi="Arial"/>
          <w:b/>
          <w:bCs/>
          <w:color w:val="1F3070"/>
          <w:sz w:val="22"/>
          <w:szCs w:val="22"/>
        </w:rPr>
        <w:t xml:space="preserve">2.4 Evaluation Protocol</w:t>
      </w:r>
    </w:p>
    <w:p>
      <w:pPr>
        <w:pStyle w:val="Heading3"/>
        <w:spacing w:after="60" w:before="160"/>
      </w:pPr>
      <w:r>
        <w:rPr>
          <w:rFonts w:ascii="Arial" w:cs="Arial" w:eastAsia="Arial" w:hAnsi="Arial"/>
          <w:b/>
          <w:bCs/>
          <w:color w:val="1F3070"/>
          <w:sz w:val="21"/>
          <w:szCs w:val="21"/>
        </w:rPr>
        <w:t xml:space="preserve">2.4.1 Model Engineering Evaluation</w:t>
      </w:r>
    </w:p>
    <w:p>
      <w:pPr>
        <w:spacing w:after="80" w:before="80" w:line="300"/>
        <w:jc w:val="both"/>
      </w:pPr>
      <w:r>
        <w:rPr>
          <w:rFonts w:ascii="Arial" w:cs="Arial" w:eastAsia="Arial" w:hAnsi="Arial"/>
          <w:sz w:val="21"/>
          <w:szCs w:val="21"/>
        </w:rPr>
        <w:t xml:space="preserve">Macro F1-score (primary metric) across 20 independent seeded runs (seeds: 42, 123, 456, 789, 1024, 2, 7, 13, 17, 23, 31, 37, 41, 43, 47, 53, 59, 61, 67, 71). Wilcoxon signed-rank test (paired, α=0.05). Three-condition ablation: (A) baseline standard cross-entropy, (B) engineered weighted cross-entropy with computed weights, (C) weighted cross-entropy architecture with uniform weights (wᵢ=1 for all i, mathematically equivalent to condition A).</w:t>
      </w:r>
    </w:p>
    <w:p>
      <w:pPr>
        <w:spacing w:after="4" w:before="4"/>
      </w:pPr>
      <w:r>
        <w:t xml:space="preserve"/>
      </w:r>
    </w:p>
    <w:p>
      <w:pPr>
        <w:spacing w:after="80" w:before="80" w:line="300"/>
        <w:jc w:val="both"/>
      </w:pPr>
      <w:r>
        <w:rPr>
          <w:rFonts w:ascii="Arial" w:cs="Arial" w:eastAsia="Arial" w:hAnsi="Arial"/>
          <w:sz w:val="21"/>
          <w:szCs w:val="21"/>
        </w:rPr>
        <w:t xml:space="preserve">The model archived for deployment (seed=123) was selected after all 20 seeded runs had completed, on the basis of that seed's test Macro F1 being the highest observed. This selection was made post-hoc across the full set of outcomes, not fixed in advance, and is disclosed here explicitly as the deployment model's provenance.</w:t>
      </w:r>
    </w:p>
    <w:p>
      <w:pPr>
        <w:pStyle w:val="Heading3"/>
        <w:spacing w:after="60" w:before="160"/>
      </w:pPr>
      <w:r>
        <w:rPr>
          <w:rFonts w:ascii="Arial" w:cs="Arial" w:eastAsia="Arial" w:hAnsi="Arial"/>
          <w:b/>
          <w:bCs/>
          <w:color w:val="1F3070"/>
          <w:sz w:val="21"/>
          <w:szCs w:val="21"/>
        </w:rPr>
        <w:t xml:space="preserve">2.4.2 RAG System Evaluation</w:t>
      </w:r>
    </w:p>
    <w:p>
      <w:pPr>
        <w:spacing w:after="80" w:before="80" w:line="300"/>
        <w:jc w:val="both"/>
      </w:pPr>
      <w:r>
        <w:rPr>
          <w:rFonts w:ascii="Arial" w:cs="Arial" w:eastAsia="Arial" w:hAnsi="Arial"/>
          <w:sz w:val="21"/>
          <w:szCs w:val="21"/>
        </w:rPr>
        <w:t xml:space="preserve">BERTScore F1, ROUGE-L, and keyword-overlap groundedness scored against 200 gold answers (not against any system's own output). Four systems compared: Nyansapo CRAG, Naive RAG, BM25-only, Vanilla LLM. Stability assessed via 5-fold cross-validation over the 200 gold pairs and via 2,000-resample bootstrap on the paired mean difference. Fairness assessed via per-course breakdown across the five represented courses. Statistical significance: Wilcoxon signed-rank, Bonferroni-corrected α=0.0167 for three pairwise comparisons.</w:t>
      </w:r>
    </w:p>
    <w:p>
      <w:pPr>
        <w:pStyle w:val="Heading2"/>
        <w:spacing w:after="80" w:before="200"/>
      </w:pPr>
      <w:r>
        <w:rPr>
          <w:rFonts w:ascii="Arial" w:cs="Arial" w:eastAsia="Arial" w:hAnsi="Arial"/>
          <w:b/>
          <w:bCs/>
          <w:color w:val="1F3070"/>
          <w:sz w:val="22"/>
          <w:szCs w:val="22"/>
        </w:rPr>
        <w:t xml:space="preserve">2.5 Reproducibility and Version Control</w:t>
      </w:r>
    </w:p>
    <w:p>
      <w:pPr>
        <w:spacing w:after="80" w:before="80" w:line="300"/>
        <w:jc w:val="both"/>
      </w:pPr>
      <w:r>
        <w:rPr>
          <w:rFonts w:ascii="Arial" w:cs="Arial" w:eastAsia="Arial" w:hAnsi="Arial"/>
          <w:sz w:val="21"/>
          <w:szCs w:val="21"/>
        </w:rPr>
        <w:t xml:space="preserve">Framework versions at time of the reported run: Python 3.13, NumPy 2.1.3, pandas 2.2.3, SciPy 1.16.3, scikit-learn 1.6.1, PyTorch 2.11.0+cu128. An earlier requirements.txt pinned scikit-learn 1.3.0 and torch 2.1.2; these pins could not be reproduced in the current Colab runtime (no compatible pre-built wheel), and the live environment versions are reported here as the true versions under which every figure in this manuscript was computed. requirements.txt has been updated in the GitHub repository to reflect this.</w:t>
      </w:r>
    </w:p>
    <w:p>
      <w:pPr>
        <w:spacing w:after="4" w:before="4"/>
      </w:pPr>
      <w:r>
        <w:t xml:space="preserve"/>
      </w:r>
    </w:p>
    <w:p>
      <w:pPr>
        <w:spacing w:after="80" w:before="80" w:line="300"/>
        <w:jc w:val="both"/>
      </w:pPr>
      <w:r>
        <w:rPr>
          <w:rFonts w:ascii="Arial" w:cs="Arial" w:eastAsia="Arial" w:hAnsi="Arial"/>
          <w:b/>
          <w:bCs/>
          <w:sz w:val="21"/>
          <w:szCs w:val="21"/>
        </w:rPr>
        <w:t xml:space="preserve">Commit hash: </w:t>
      </w:r>
      <w:r>
        <w:rPr>
          <w:rFonts w:ascii="Arial" w:cs="Arial" w:eastAsia="Arial" w:hAnsi="Arial"/>
          <w:sz w:val="21"/>
          <w:szCs w:val="21"/>
        </w:rPr>
        <w:t xml:space="preserve">All Macro F1, ablation, perturbation, and figure results reported in this manuscript trace to commit </w:t>
      </w:r>
      <w:r>
        <w:rPr>
          <w:rFonts w:ascii="Arial" w:cs="Arial" w:eastAsia="Arial" w:hAnsi="Arial"/>
          <w:b/>
          <w:bCs/>
          <w:sz w:val="21"/>
          <w:szCs w:val="21"/>
        </w:rPr>
        <w:t xml:space="preserve">3f0dcb041980fd6c1af727b16e9094534283d8b1</w:t>
      </w:r>
      <w:r>
        <w:rPr>
          <w:rFonts w:ascii="Arial" w:cs="Arial" w:eastAsia="Arial" w:hAnsi="Arial"/>
          <w:sz w:val="21"/>
          <w:szCs w:val="21"/>
        </w:rPr>
        <w:t xml:space="preserve"> (github.com/maagyei04/Nyansapo-RAG-Research), which postdates the C1 leak fix, the F8 pairing fix, the regenerated confusion matrices and convergence curves, and the reproducible user-trust-study analysis cell. The gold-standard QA pairs and four-system generated answers are committed at parent commit 710f75765fb482f370a7bb6b359438d7b3e7c6a3.</w:t>
      </w:r>
    </w:p>
    <w:p>
      <w:pPr>
        <w:pStyle w:val="Heading2"/>
        <w:spacing w:after="80" w:before="200"/>
      </w:pPr>
      <w:r>
        <w:rPr>
          <w:rFonts w:ascii="Arial" w:cs="Arial" w:eastAsia="Arial" w:hAnsi="Arial"/>
          <w:b/>
          <w:bCs/>
          <w:color w:val="1F3070"/>
          <w:sz w:val="22"/>
          <w:szCs w:val="22"/>
        </w:rPr>
        <w:t xml:space="preserve">2.6 Ethical Considerations</w:t>
      </w:r>
    </w:p>
    <w:p>
      <w:pPr>
        <w:spacing w:after="80" w:before="80" w:line="300"/>
        <w:jc w:val="both"/>
      </w:pPr>
      <w:r>
        <w:rPr>
          <w:rFonts w:ascii="Arial" w:cs="Arial" w:eastAsia="Arial" w:hAnsi="Arial"/>
          <w:sz w:val="21"/>
          <w:szCs w:val="21"/>
        </w:rPr>
        <w:t xml:space="preserve">This study was submitted to the KNUST Committee on Human Research, Publications and Ethics (CHRPE) in March 2026. The reference number will be inserted upon receipt of the formal approval document. No student interaction log collection or user study data collection commenced before institutional permission was confirmed. All 298 student participants provided written informed consent via a mandatory consent checkbox.</w:t>
      </w:r>
    </w:p>
    <w:p>
      <w:r>
        <w:br w:type="page"/>
      </w:r>
    </w:p>
    <w:p>
      <w:pPr>
        <w:pStyle w:val="Heading1"/>
        <w:spacing w:after="100" w:before="300"/>
      </w:pPr>
      <w:r>
        <w:rPr>
          <w:rFonts w:ascii="Arial" w:cs="Arial" w:eastAsia="Arial" w:hAnsi="Arial"/>
          <w:b/>
          <w:bCs/>
          <w:color w:val="2E4099"/>
          <w:sz w:val="26"/>
          <w:szCs w:val="26"/>
        </w:rPr>
        <w:t xml:space="preserve">REFERENCES</w:t>
      </w:r>
    </w:p>
    <w:p>
      <w:pPr>
        <w:spacing w:after="80" w:before="80" w:line="300"/>
        <w:jc w:val="both"/>
      </w:pPr>
      <w:r>
        <w:rPr>
          <w:rFonts w:ascii="Arial" w:cs="Arial" w:eastAsia="Arial" w:hAnsi="Arial"/>
          <w:sz w:val="21"/>
          <w:szCs w:val="21"/>
        </w:rPr>
        <w:t xml:space="preserve">Amadiok, D., Abroampa, W. K., &amp; Osei, E. O. (2025). Correlates of factors on students' use behavior of E-learning management systems in Ghanaian Public Universities. Education and Information Technologies.</w:t>
      </w:r>
    </w:p>
    <w:p>
      <w:pPr>
        <w:spacing w:after="80" w:before="80" w:line="300"/>
        <w:jc w:val="both"/>
      </w:pPr>
      <w:r>
        <w:rPr>
          <w:rFonts w:ascii="Arial" w:cs="Arial" w:eastAsia="Arial" w:hAnsi="Arial"/>
          <w:sz w:val="21"/>
          <w:szCs w:val="21"/>
        </w:rPr>
        <w:t xml:space="preserve">Cormack, G. V., Clarke, C. L., &amp; Buettcher, S. (2009). Reciprocal rank fusion outperforms condorcet and individual rank learning methods. SIGIR 2009.</w:t>
      </w:r>
    </w:p>
    <w:p>
      <w:pPr>
        <w:spacing w:after="80" w:before="80" w:line="300"/>
        <w:jc w:val="both"/>
      </w:pPr>
      <w:r>
        <w:rPr>
          <w:rFonts w:ascii="Arial" w:cs="Arial" w:eastAsia="Arial" w:hAnsi="Arial"/>
          <w:sz w:val="21"/>
          <w:szCs w:val="21"/>
        </w:rPr>
        <w:t xml:space="preserve">Ji, Z., Lee, N., Frieske, R., et al. (2023). Survey of Hallucination in Natural Language Generation. ACM Computing Surveys.</w:t>
      </w:r>
    </w:p>
    <w:p>
      <w:pPr>
        <w:spacing w:after="80" w:before="80" w:line="300"/>
        <w:jc w:val="both"/>
      </w:pPr>
      <w:r>
        <w:rPr>
          <w:rFonts w:ascii="Arial" w:cs="Arial" w:eastAsia="Arial" w:hAnsi="Arial"/>
          <w:sz w:val="21"/>
          <w:szCs w:val="21"/>
        </w:rPr>
        <w:t xml:space="preserve">Lewis, P., Perez, E., Piktus, A., et al. (2020). Retrieval-Augmented Generation for Knowledge-Intensive NLP Tasks. NeurIPS.</w:t>
      </w:r>
    </w:p>
    <w:p>
      <w:pPr>
        <w:spacing w:after="80" w:before="80" w:line="300"/>
        <w:jc w:val="both"/>
      </w:pPr>
      <w:r>
        <w:rPr>
          <w:rFonts w:ascii="Arial" w:cs="Arial" w:eastAsia="Arial" w:hAnsi="Arial"/>
          <w:sz w:val="21"/>
          <w:szCs w:val="21"/>
        </w:rPr>
        <w:t xml:space="preserve">Yan, S., Gu, J., Zhu, Y., &amp; Ling, Z. (2024). Corrective Retrieval Augmented Generation. arXiv:2401.15884.</w:t>
      </w:r>
    </w:p>
    <w:p>
      <w:pPr>
        <w:spacing w:after="20" w:before="20"/>
      </w:pPr>
      <w:r>
        <w:t xml:space="preserve"/>
      </w:r>
    </w:p>
    <w:p>
      <w:pPr>
        <w:spacing w:after="60" w:before="60"/>
        <w:jc w:val="center"/>
      </w:pPr>
      <w:r>
        <w:rPr>
          <w:rFonts w:ascii="Arial" w:cs="Arial" w:eastAsia="Arial" w:hAnsi="Arial"/>
          <w:i/>
          <w:iCs/>
          <w:color w:val="666666"/>
          <w:sz w:val="18"/>
          <w:szCs w:val="18"/>
        </w:rPr>
        <w:t xml:space="preserve">Nyansapo Research Team — Group 1 — KNUST 2025–2026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2E4099"/>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F30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2026-09-13T20:18:31.687Z</dcterms:created>
  <dcterms:modified xsi:type="dcterms:W3CDTF">2026-09-13T20:18:31.697Z</dcterms:modified>
</cp:coreProperties>
</file>

<file path=docProps/custom.xml><?xml version="1.0" encoding="utf-8"?>
<Properties xmlns="http://schemas.openxmlformats.org/officeDocument/2006/custom-properties" xmlns:vt="http://schemas.openxmlformats.org/officeDocument/2006/docPropsVTypes"/>
</file>