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2E4099" w:sz="6" w:space="4"/>
        </w:pBdr>
        <w:spacing w:after="60" w:before="0"/>
        <w:jc w:val="center"/>
      </w:pPr>
      <w:r>
        <w:rPr>
          <w:rFonts w:ascii="Arial" w:cs="Arial" w:eastAsia="Arial" w:hAnsi="Arial"/>
          <w:b/>
          <w:bCs/>
          <w:color w:val="2E4099"/>
          <w:sz w:val="26"/>
          <w:szCs w:val="26"/>
        </w:rPr>
        <w:t xml:space="preserve">NYANSAPO — GROUP 1</w:t>
      </w:r>
    </w:p>
    <w:p>
      <w:pPr>
        <w:spacing w:after="60" w:before="60"/>
        <w:jc w:val="center"/>
      </w:pPr>
      <w:r>
        <w:rPr>
          <w:rFonts w:ascii="Arial" w:cs="Arial" w:eastAsia="Arial" w:hAnsi="Arial"/>
          <w:b/>
          <w:bCs/>
          <w:color w:val="1F3070"/>
          <w:sz w:val="22"/>
          <w:szCs w:val="22"/>
        </w:rPr>
        <w:t xml:space="preserve">RESULTS SECTION — VERIFICATION RESUBMISSION (R02)</w:t>
      </w:r>
    </w:p>
    <w:p>
      <w:pPr>
        <w:pBdr>
          <w:bottom w:val="single" w:color="CCCCCC" w:sz="2" w:space="4"/>
        </w:pBdr>
        <w:spacing w:after="180" w:before="0"/>
        <w:jc w:val="center"/>
      </w:pPr>
      <w:r>
        <w:rPr>
          <w:rFonts w:ascii="Arial" w:cs="Arial" w:eastAsia="Arial" w:hAnsi="Arial"/>
          <w:i/>
          <w:iCs/>
          <w:color w:val="666666"/>
          <w:sz w:val="16"/>
          <w:szCs w:val="16"/>
        </w:rPr>
        <w:t xml:space="preserve">All results below are computed under the leak-free pipeline (C1 fixed) and the corrected perturbation harness (F8 fixed).</w:t>
      </w:r>
    </w:p>
    <w:p>
      <w:pPr>
        <w:pStyle w:val="Heading1"/>
        <w:spacing w:after="100" w:before="300"/>
      </w:pPr>
      <w:r>
        <w:rPr>
          <w:rFonts w:ascii="Arial" w:cs="Arial" w:eastAsia="Arial" w:hAnsi="Arial"/>
          <w:b/>
          <w:bCs/>
          <w:color w:val="2E4099"/>
          <w:sz w:val="26"/>
          <w:szCs w:val="26"/>
        </w:rPr>
        <w:t xml:space="preserve">3. RESULTS AND ANALYSIS</w:t>
      </w:r>
    </w:p>
    <w:p>
      <w:pPr>
        <w:spacing w:after="80" w:before="80" w:line="300"/>
        <w:jc w:val="both"/>
      </w:pPr>
      <w:r>
        <w:rPr>
          <w:rFonts w:ascii="Arial" w:cs="Arial" w:eastAsia="Arial" w:hAnsi="Arial"/>
          <w:sz w:val="21"/>
          <w:szCs w:val="21"/>
        </w:rPr>
        <w:t xml:space="preserve">This section reports results under the corrected, leak-free pipeline. The TF-IDF vectoriser is now fitted on the training partition only, within each of the 20 seeded runs, and class weights are computed from the training-partition count. All figures superseded by this correction are marked accordingly. No causal or interpretive language is used in this section; the proposed weighting scheme's contribution is demonstrated exclusively through the ablation study in §3.3, not asserted in prose.</w:t>
      </w:r>
    </w:p>
    <w:p>
      <w:pPr>
        <w:spacing w:after="6" w:before="6"/>
      </w:pPr>
      <w:r>
        <w:t xml:space="preserve"/>
      </w:r>
    </w:p>
    <w:p>
      <w:pPr>
        <w:pStyle w:val="Heading2"/>
        <w:spacing w:after="80" w:before="200"/>
      </w:pPr>
      <w:r>
        <w:rPr>
          <w:rFonts w:ascii="Arial" w:cs="Arial" w:eastAsia="Arial" w:hAnsi="Arial"/>
          <w:b/>
          <w:bCs/>
          <w:color w:val="1F3070"/>
          <w:sz w:val="22"/>
          <w:szCs w:val="22"/>
        </w:rPr>
        <w:t xml:space="preserve">3.1 Model Engineering Results: Nyansapo-QIC vs Nyansapo-QIC-WCE</w:t>
      </w:r>
    </w:p>
    <w:p>
      <w:pPr>
        <w:spacing w:after="80" w:before="80" w:line="300"/>
        <w:jc w:val="both"/>
      </w:pPr>
      <w:r>
        <w:rPr>
          <w:rFonts w:ascii="Arial" w:cs="Arial" w:eastAsia="Arial" w:hAnsi="Arial"/>
          <w:sz w:val="21"/>
          <w:szCs w:val="21"/>
        </w:rPr>
        <w:t xml:space="preserve">Table 3 presents the corrected comparison across 20 independent seeded runs, all values computed with the vectoriser and class weights scoped strictly to each run's training partition.</w:t>
      </w:r>
    </w:p>
    <w:p>
      <w:pPr>
        <w:spacing w:after="6"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Metric</w:t>
            </w:r>
          </w:p>
        </w:tc>
        <w:tc>
          <w:tcPr>
            <w:tcW w:type="dxa" w:w="208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Nyansapo-QIC
(Baseline)</w:t>
            </w:r>
          </w:p>
        </w:tc>
        <w:tc>
          <w:tcPr>
            <w:tcW w:type="dxa" w:w="208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Nyansapo-QIC-WCE
(Engineered)</w:t>
            </w:r>
          </w:p>
        </w:tc>
        <w:tc>
          <w:tcPr>
            <w:tcW w:type="dxa" w:w="20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Statistic</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Macro F1 (mean ± SD)</w:t>
            </w:r>
          </w:p>
        </w:tc>
        <w:tc>
          <w:tcPr>
            <w:tcW w:type="dxa" w:w="2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0.1976 ± 0.0836</w:t>
            </w:r>
          </w:p>
        </w:tc>
        <w:tc>
          <w:tcPr>
            <w:tcW w:type="dxa" w:w="2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0.7074 ± 0.1306</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+0.5098 (+258.0%)</w:t>
            </w:r>
          </w:p>
        </w:tc>
      </w:tr>
      <w:tr>
        <w:tc>
          <w:tcPr>
            <w:tcW w:type="dxa" w:w="32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Wilcoxon signed-rank p</w:t>
            </w:r>
          </w:p>
        </w:tc>
        <w:tc>
          <w:tcPr>
            <w:tcW w:type="dxa" w:w="20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w:t>
            </w:r>
          </w:p>
        </w:tc>
        <w:tc>
          <w:tcPr>
            <w:tcW w:type="dxa" w:w="20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w:t>
            </w:r>
          </w:p>
        </w:tc>
        <w:tc>
          <w:tcPr>
            <w:tcW w:type="dxa" w:w="20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p = 0.000088 ✓</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Cohen's d</w:t>
            </w:r>
          </w:p>
        </w:tc>
        <w:tc>
          <w:tcPr>
            <w:tcW w:type="dxa" w:w="2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w:t>
            </w:r>
          </w:p>
        </w:tc>
        <w:tc>
          <w:tcPr>
            <w:tcW w:type="dxa" w:w="2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d = 3.0005 (very large)</w:t>
            </w:r>
          </w:p>
        </w:tc>
      </w:tr>
      <w:tr>
        <w:tc>
          <w:tcPr>
            <w:tcW w:type="dxa" w:w="32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n seeds</w:t>
            </w:r>
          </w:p>
        </w:tc>
        <w:tc>
          <w:tcPr>
            <w:tcW w:type="dxa" w:w="20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20</w:t>
            </w:r>
          </w:p>
        </w:tc>
        <w:tc>
          <w:tcPr>
            <w:tcW w:type="dxa" w:w="20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20</w:t>
            </w:r>
          </w:p>
        </w:tc>
        <w:tc>
          <w:tcPr>
            <w:tcW w:type="dxa" w:w="20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w:t>
            </w:r>
          </w:p>
        </w:tc>
      </w:tr>
    </w:tbl>
    <w:p>
      <w:pPr>
        <w:spacing w:after="80" w:before="40"/>
        <w:jc w:val="center"/>
      </w:pPr>
      <w:r>
        <w:rPr>
          <w:rFonts w:ascii="Arial" w:cs="Arial" w:eastAsia="Arial" w:hAnsi="Arial"/>
          <w:i/>
          <w:iCs/>
          <w:color w:val="666666"/>
          <w:sz w:val="18"/>
          <w:szCs w:val="18"/>
        </w:rPr>
        <w:t xml:space="preserve">Table 3. Nyansapo-QIC vs Nyansapo-QIC-WCE, corrected pipeline. Green = statistically significant at α=0.05.</w:t>
      </w:r>
    </w:p>
    <w:p>
      <w:pPr>
        <w:spacing w:after="6" w:before="6"/>
      </w:pPr>
      <w:r>
        <w:t xml:space="preserve"/>
      </w:r>
    </w:p>
    <w:p>
      <w:pPr>
        <w:pStyle w:val="Heading2"/>
        <w:spacing w:after="80" w:before="200"/>
      </w:pPr>
      <w:r>
        <w:rPr>
          <w:rFonts w:ascii="Arial" w:cs="Arial" w:eastAsia="Arial" w:hAnsi="Arial"/>
          <w:b/>
          <w:bCs/>
          <w:color w:val="1F3070"/>
          <w:sz w:val="22"/>
          <w:szCs w:val="22"/>
        </w:rPr>
        <w:t xml:space="preserve">3.2 Base Rate and Per-Class Recall</w:t>
      </w:r>
    </w:p>
    <w:p>
      <w:pPr>
        <w:spacing w:after="80" w:before="80" w:line="300"/>
        <w:jc w:val="both"/>
      </w:pPr>
      <w:r>
        <w:rPr>
          <w:rFonts w:ascii="Arial" w:cs="Arial" w:eastAsia="Arial" w:hAnsi="Arial"/>
          <w:sz w:val="21"/>
          <w:szCs w:val="21"/>
        </w:rPr>
        <w:t xml:space="preserve">Table 4 reports per-class recall at seed 42 alongside the base rate for each class, addressing whether the aggregate Macro F1 is carried disproportionately by the majority class.</w:t>
      </w:r>
    </w:p>
    <w:p>
      <w:pPr>
        <w:spacing w:after="6"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Intent Class</w:t>
            </w:r>
          </w:p>
        </w:tc>
        <w:tc>
          <w:tcPr>
            <w:tcW w:type="dxa" w:w="16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 (train, 145 total)</w:t>
            </w:r>
          </w:p>
        </w:tc>
        <w:tc>
          <w:tcPr>
            <w:tcW w:type="dxa" w:w="16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Base Rate</w:t>
            </w:r>
          </w:p>
        </w:tc>
        <w:tc>
          <w:tcPr>
            <w:tcW w:type="dxa" w:w="16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Recall (seed 42)</w:t>
            </w:r>
          </w:p>
        </w:tc>
        <w:tc>
          <w:tcPr>
            <w:tcW w:type="dxa" w:w="16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Support (test)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Definition</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83</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0.5724</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0.6923</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13</w:t>
            </w:r>
          </w:p>
        </w:tc>
      </w:tr>
      <w:tr>
        <w:tc>
          <w:tcPr>
            <w:tcW w:type="dxa" w:w="2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Explanation</w:t>
            </w:r>
          </w:p>
        </w:tc>
        <w:tc>
          <w:tcPr>
            <w:tcW w:type="dxa" w:w="16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24</w:t>
            </w:r>
          </w:p>
        </w:tc>
        <w:tc>
          <w:tcPr>
            <w:tcW w:type="dxa" w:w="16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0.1655</w:t>
            </w:r>
          </w:p>
        </w:tc>
        <w:tc>
          <w:tcPr>
            <w:tcW w:type="dxa" w:w="16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0.0000</w:t>
            </w:r>
          </w:p>
        </w:tc>
        <w:tc>
          <w:tcPr>
            <w:tcW w:type="dxa" w:w="16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w:t>
            </w:r>
          </w:p>
        </w:tc>
      </w:tr>
      <w:tr>
        <w:tc>
          <w:tcPr>
            <w:tcW w:type="dxa" w:w="2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Identification</w:t>
            </w:r>
          </w:p>
        </w:tc>
        <w:tc>
          <w:tcPr>
            <w:tcW w:type="dxa" w:w="16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5</w:t>
            </w:r>
          </w:p>
        </w:tc>
        <w:tc>
          <w:tcPr>
            <w:tcW w:type="dxa" w:w="16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0.0345</w:t>
            </w:r>
          </w:p>
        </w:tc>
        <w:tc>
          <w:tcPr>
            <w:tcW w:type="dxa" w:w="16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0.0000</w:t>
            </w:r>
          </w:p>
        </w:tc>
        <w:tc>
          <w:tcPr>
            <w:tcW w:type="dxa" w:w="16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1</w:t>
            </w:r>
          </w:p>
        </w:tc>
      </w:tr>
      <w:tr>
        <w:tc>
          <w:tcPr>
            <w:tcW w:type="dxa" w:w="28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Procedural</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23</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0.1586</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0.6667</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Out-of-scope</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10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0.0690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1.0000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1</w:t>
            </w:r>
          </w:p>
        </w:tc>
      </w:tr>
    </w:tbl>
    <w:p>
      <w:pPr>
        <w:spacing w:after="80" w:before="40"/>
        <w:jc w:val="center"/>
      </w:pPr>
      <w:r>
        <w:rPr>
          <w:rFonts w:ascii="Arial" w:cs="Arial" w:eastAsia="Arial" w:hAnsi="Arial"/>
          <w:i/>
          <w:iCs/>
          <w:color w:val="666666"/>
          <w:sz w:val="18"/>
          <w:szCs w:val="18"/>
        </w:rPr>
        <w:t xml:space="preserve">Table 4. Base rate and per-class recall, seed 42, corrected pipeline. Red shading marks zero-recall classes; both have n≤4 in the test fold and per-class inference from either is not supported at this sample size.</w:t>
      </w:r>
    </w:p>
    <w:p>
      <w:pPr>
        <w:spacing w:after="80" w:before="80" w:line="300"/>
        <w:jc w:val="both"/>
      </w:pPr>
      <w:r>
        <w:rPr>
          <w:rFonts w:ascii="Arial" w:cs="Arial" w:eastAsia="Arial" w:hAnsi="Arial"/>
          <w:sz w:val="21"/>
          <w:szCs w:val="21"/>
        </w:rPr>
        <w:t xml:space="preserve">Two classes (Explanation, Identification) show zero recall at seed 42 despite the engineered model's high aggregate Macro F1 for that seed (0.7714). Identification has a single test-fold instance across the entire 145-example dataset; no per-class claim is drawn from it beyond noting the limitation explicitly here.</w:t>
      </w:r>
    </w:p>
    <w:p>
      <w:pPr>
        <w:spacing w:after="6" w:before="6"/>
      </w:pPr>
      <w:r>
        <w:t xml:space="preserve"/>
      </w:r>
    </w:p>
    <w:p>
      <w:pPr>
        <w:pStyle w:val="Heading2"/>
        <w:spacing w:after="80" w:before="200"/>
      </w:pPr>
      <w:r>
        <w:rPr>
          <w:rFonts w:ascii="Arial" w:cs="Arial" w:eastAsia="Arial" w:hAnsi="Arial"/>
          <w:b/>
          <w:bCs/>
          <w:color w:val="1F3070"/>
          <w:sz w:val="22"/>
          <w:szCs w:val="22"/>
        </w:rPr>
        <w:t xml:space="preserve">3.3 Ablation Study</w:t>
      </w:r>
    </w:p>
    <w:p>
      <w:pPr>
        <w:spacing w:after="80" w:before="80" w:line="300"/>
        <w:jc w:val="both"/>
      </w:pPr>
      <w:r>
        <w:rPr>
          <w:rFonts w:ascii="Arial" w:cs="Arial" w:eastAsia="Arial" w:hAnsi="Arial"/>
          <w:sz w:val="21"/>
          <w:szCs w:val="21"/>
        </w:rPr>
        <w:t xml:space="preserve">Table 5 presents the three-condition ablation. Condition (C), weighted cross-entropy with uniform weights (wᵢ=1 for all classes), is mathematically identical to standard cross-entropy — the weighted-loss formula reduces exactly to the unweighted formula when every weight equals one. The ablated and baseline conditions return numerically identical results. No other architectural or procedural difference exists between conditions (B) and (C).</w:t>
      </w:r>
    </w:p>
    <w:p>
      <w:pPr>
        <w:spacing w:after="6"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80"/>
        <w:gridCol w:w="1780"/>
      </w:tblGrid>
      <w:tr>
        <w:trPr>
          <w:tblHeader/>
        </w:trPr>
        <w:tc>
          <w:tcPr>
            <w:tcW w:type="dxa" w:w="38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Condition</w:t>
            </w:r>
          </w:p>
        </w:tc>
        <w:tc>
          <w:tcPr>
            <w:tcW w:type="dxa" w:w="20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Macro F1 (mean ± SD)</w:t>
            </w:r>
          </w:p>
        </w:tc>
        <w:tc>
          <w:tcPr>
            <w:tcW w:type="dxa" w:w="178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Δ vs Baseline</w:t>
            </w:r>
          </w:p>
        </w:tc>
        <w:tc>
          <w:tcPr>
            <w:tcW w:type="dxa" w:w="178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p-value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(A) Baseline (standard 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0.1976 ± 0.0836</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 (reference)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w:t>
            </w:r>
          </w:p>
        </w:tc>
      </w:tr>
      <w:tr>
        <w:tc>
          <w:tcPr>
            <w:tcW w:type="dxa" w:w="3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(B) Engineered (computed weights)</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0.7074 ± 0.1306</w:t>
            </w:r>
          </w:p>
        </w:tc>
        <w:tc>
          <w:tcPr>
            <w:tcW w:type="dxa" w:w="17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+0.5098</w:t>
            </w:r>
          </w:p>
        </w:tc>
        <w:tc>
          <w:tcPr>
            <w:tcW w:type="dxa" w:w="17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p = 0.000088 ✓</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(C) Ablated (uniform weights)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0.1976 ± 0.0836</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+0.0000 (identical)</w:t>
            </w:r>
          </w:p>
        </w:tc>
        <w:tc>
          <w:tcPr>
            <w:tcW w:type="dxa" w:w="1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undefined (zero variance)</w:t>
            </w:r>
          </w:p>
        </w:tc>
      </w:tr>
    </w:tbl>
    <w:p>
      <w:pPr>
        <w:spacing w:after="80" w:before="40"/>
        <w:jc w:val="center"/>
      </w:pPr>
      <w:r>
        <w:rPr>
          <w:rFonts w:ascii="Arial" w:cs="Arial" w:eastAsia="Arial" w:hAnsi="Arial"/>
          <w:i/>
          <w:iCs/>
          <w:color w:val="666666"/>
          <w:sz w:val="18"/>
          <w:szCs w:val="18"/>
        </w:rPr>
        <w:t xml:space="preserve">Table 5. Ablation study, corrected pipeline. Condition C is mathematically equivalent to Condition A; the Wilcoxon test is undefined on two identical arrays, which is expected and correctly reported rather than substituted with a computed value.</w:t>
      </w:r>
    </w:p>
    <w:p>
      <w:pPr>
        <w:spacing w:after="6" w:before="6"/>
      </w:pPr>
      <w:r>
        <w:t xml:space="preserve"/>
      </w:r>
    </w:p>
    <w:p>
      <w:pPr>
        <w:pStyle w:val="Heading2"/>
        <w:spacing w:after="80" w:before="200"/>
      </w:pPr>
      <w:r>
        <w:rPr>
          <w:rFonts w:ascii="Arial" w:cs="Arial" w:eastAsia="Arial" w:hAnsi="Arial"/>
          <w:b/>
          <w:bCs/>
          <w:color w:val="1F3070"/>
          <w:sz w:val="22"/>
          <w:szCs w:val="22"/>
        </w:rPr>
        <w:t xml:space="preserve">3.4 RAG System Evaluation: Nyansapo CRAG vs Baselines</w:t>
      </w:r>
    </w:p>
    <w:p>
      <w:pPr>
        <w:spacing w:after="80" w:before="80" w:line="300"/>
        <w:jc w:val="both"/>
      </w:pPr>
      <w:r>
        <w:rPr>
          <w:rFonts w:ascii="Arial" w:cs="Arial" w:eastAsia="Arial" w:hAnsi="Arial"/>
          <w:sz w:val="21"/>
          <w:szCs w:val="21"/>
        </w:rPr>
        <w:t xml:space="preserve">Table 6 presents BERTScore F1 and ROUGE-L against the 200 gold-standard QA pairs, scored against gold answers rather than any system's own output.</w:t>
      </w:r>
    </w:p>
    <w:p>
      <w:pPr>
        <w:spacing w:after="6"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System</w:t>
            </w:r>
          </w:p>
        </w:tc>
        <w:tc>
          <w:tcPr>
            <w:tcW w:type="dxa" w:w="16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ROUGE-L (mean)</w:t>
            </w:r>
          </w:p>
        </w:tc>
        <w:tc>
          <w:tcPr>
            <w:tcW w:type="dxa" w:w="16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ROUGE-L (SD)</w:t>
            </w:r>
          </w:p>
        </w:tc>
        <w:tc>
          <w:tcPr>
            <w:tcW w:type="dxa" w:w="16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Zero-ROUGE count</w:t>
            </w:r>
          </w:p>
        </w:tc>
        <w:tc>
          <w:tcPr>
            <w:tcW w:type="dxa" w:w="16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Empty generations</w:t>
            </w:r>
          </w:p>
        </w:tc>
      </w:tr>
      <w:tr>
        <w:tc>
          <w:tcPr>
            <w:tcW w:type="dxa" w:w="2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Nyansapo CRAG</w:t>
            </w:r>
          </w:p>
        </w:tc>
        <w:tc>
          <w:tcPr>
            <w:tcW w:type="dxa" w:w="16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0.2283</w:t>
            </w:r>
          </w:p>
        </w:tc>
        <w:tc>
          <w:tcPr>
            <w:tcW w:type="dxa" w:w="16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0.0093 (across folds)</w:t>
            </w:r>
          </w:p>
        </w:tc>
        <w:tc>
          <w:tcPr>
            <w:tcW w:type="dxa" w:w="16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10 / 200</w:t>
            </w:r>
          </w:p>
        </w:tc>
        <w:tc>
          <w:tcPr>
            <w:tcW w:type="dxa" w:w="16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w:t>
            </w:r>
          </w:p>
        </w:tc>
      </w:tr>
      <w:tr>
        <w:tc>
          <w:tcPr>
            <w:tcW w:type="dxa" w:w="28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Naive RAG</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0.2244</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0.0223</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11 / 200</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BM25 only</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0.1733</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0.0165</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27 / 200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w:t>
            </w:r>
          </w:p>
        </w:tc>
      </w:tr>
      <w:tr>
        <w:tc>
          <w:tcPr>
            <w:tcW w:type="dxa" w:w="28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Vanilla LLM</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0.2080</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0.0143</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 / 200</w:t>
            </w:r>
          </w:p>
        </w:tc>
        <w:tc>
          <w:tcPr>
            <w:tcW w:type="dxa" w:w="16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w:t>
            </w:r>
          </w:p>
        </w:tc>
      </w:tr>
    </w:tbl>
    <w:p>
      <w:pPr>
        <w:spacing w:after="80" w:before="40"/>
        <w:jc w:val="center"/>
      </w:pPr>
      <w:r>
        <w:rPr>
          <w:rFonts w:ascii="Arial" w:cs="Arial" w:eastAsia="Arial" w:hAnsi="Arial"/>
          <w:i/>
          <w:iCs/>
          <w:color w:val="666666"/>
          <w:sz w:val="18"/>
          <w:szCs w:val="18"/>
        </w:rPr>
        <w:t xml:space="preserve">Table 6. ROUGE-L across four systems (n=200 gold pairs). SD reported is the between-fold SD from the 5-fold analysis (Table 8). Zero empty generations confirmed across all four systems (audit block V5).</w:t>
      </w:r>
    </w:p>
    <w:p>
      <w:pPr>
        <w:spacing w:after="6" w:before="6"/>
      </w:pPr>
      <w:r>
        <w:t xml:space="preserve"/>
      </w:r>
    </w:p>
    <w:p>
      <w:pPr>
        <w:pStyle w:val="Heading2"/>
        <w:spacing w:after="80" w:before="200"/>
      </w:pPr>
      <w:r>
        <w:rPr>
          <w:rFonts w:ascii="Arial" w:cs="Arial" w:eastAsia="Arial" w:hAnsi="Arial"/>
          <w:b/>
          <w:bCs/>
          <w:color w:val="1F3070"/>
          <w:sz w:val="22"/>
          <w:szCs w:val="22"/>
        </w:rPr>
        <w:t xml:space="preserve">3.5 Statistical Comparison and Stability</w:t>
      </w:r>
    </w:p>
    <w:p>
      <w:pPr>
        <w:spacing w:after="80" w:before="80" w:line="300"/>
        <w:jc w:val="both"/>
      </w:pPr>
      <w:r>
        <w:rPr>
          <w:rFonts w:ascii="Arial" w:cs="Arial" w:eastAsia="Arial" w:hAnsi="Arial"/>
          <w:sz w:val="21"/>
          <w:szCs w:val="21"/>
        </w:rPr>
        <w:t xml:space="preserve">Table 7 reports Wilcoxon signed-rank tests with 2,000-resample bootstrap 95% confidence intervals on the paired mean difference, and the fraction of bootstrap resamples in which the sign of the difference reversed ("sign flip").</w:t>
      </w:r>
    </w:p>
    <w:p>
      <w:pPr>
        <w:spacing w:after="6"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1720"/>
      </w:tblGrid>
      <w:tr>
        <w:trPr>
          <w:tblHeader/>
        </w:trPr>
        <w:tc>
          <w:tcPr>
            <w:tcW w:type="dxa" w:w="24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Contrast</w:t>
            </w:r>
          </w:p>
        </w:tc>
        <w:tc>
          <w:tcPr>
            <w:tcW w:type="dxa" w:w="156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Mean Δ</w:t>
            </w:r>
          </w:p>
        </w:tc>
        <w:tc>
          <w:tcPr>
            <w:tcW w:type="dxa" w:w="156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p-value</w:t>
            </w:r>
          </w:p>
        </w:tc>
        <w:tc>
          <w:tcPr>
            <w:tcW w:type="dxa" w:w="156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95% CI</w:t>
            </w:r>
          </w:p>
        </w:tc>
        <w:tc>
          <w:tcPr>
            <w:tcW w:type="dxa" w:w="156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Sign Flip</w:t>
            </w:r>
          </w:p>
        </w:tc>
        <w:tc>
          <w:tcPr>
            <w:tcW w:type="dxa" w:w="172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Verdict</w:t>
            </w:r>
          </w:p>
        </w:tc>
      </w:tr>
      <w:tr>
        <w:tc>
          <w:tcPr>
            <w:tcW w:type="dxa" w:w="24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CRAG vs BM25</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0.0549</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0.000001</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[0.0335, —]</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0.000</w:t>
            </w:r>
          </w:p>
        </w:tc>
        <w:tc>
          <w:tcPr>
            <w:tcW w:type="dxa" w:w="172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Significant</w:t>
            </w:r>
          </w:p>
        </w:tc>
      </w:tr>
      <w:tr>
        <w:tc>
          <w:tcPr>
            <w:tcW w:type="dxa" w:w="2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CRAG vs Vanilla</w:t>
            </w:r>
          </w:p>
        </w:tc>
        <w:tc>
          <w:tcPr>
            <w:tcW w:type="dxa" w:w="156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0.0202</w:t>
            </w:r>
          </w:p>
        </w:tc>
        <w:tc>
          <w:tcPr>
            <w:tcW w:type="dxa" w:w="156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0.055630</w:t>
            </w:r>
          </w:p>
        </w:tc>
        <w:tc>
          <w:tcPr>
            <w:tcW w:type="dxa" w:w="156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[0.0034, —]</w:t>
            </w:r>
          </w:p>
        </w:tc>
        <w:tc>
          <w:tcPr>
            <w:tcW w:type="dxa" w:w="156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0.009</w:t>
            </w:r>
          </w:p>
        </w:tc>
        <w:tc>
          <w:tcPr>
            <w:tcW w:type="dxa" w:w="172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Inconclusive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CRAG vs Naive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0.0038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0.554468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[−0.0136,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0.344</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Inconclusive</w:t>
            </w:r>
          </w:p>
        </w:tc>
      </w:tr>
    </w:tbl>
    <w:p>
      <w:pPr>
        <w:spacing w:after="80" w:before="40"/>
        <w:jc w:val="center"/>
      </w:pPr>
      <w:r>
        <w:rPr>
          <w:rFonts w:ascii="Arial" w:cs="Arial" w:eastAsia="Arial" w:hAnsi="Arial"/>
          <w:i/>
          <w:iCs/>
          <w:color w:val="666666"/>
          <w:sz w:val="18"/>
          <w:szCs w:val="18"/>
        </w:rPr>
        <w:t xml:space="preserve">Table 7. Bootstrap stability analysis (n=2000 resamples). A confidence interval spanning zero indicates an interval that contains zero, not an absence of effect.</w:t>
      </w:r>
    </w:p>
    <w:p>
      <w:pPr>
        <w:spacing w:after="80" w:before="80" w:line="300"/>
        <w:jc w:val="both"/>
      </w:pPr>
      <w:r>
        <w:rPr>
          <w:rFonts w:ascii="Arial" w:cs="Arial" w:eastAsia="Arial" w:hAnsi="Arial"/>
          <w:sz w:val="21"/>
          <w:szCs w:val="21"/>
        </w:rPr>
        <w:t xml:space="preserve">A minimum detectable effect (MDE) analysis was performed for the CRAG vs Vanilla contrast at Bonferroni-corrected α=0.0167. The observed mean paired delta (0.0202) is below the MDE at 80% power (0.0291); achieved power at n=200 is 0.4436, and 413 pairs would be required to detect the observed effect at 80% power. The CRAG vs Vanilla result is therefore reported as statistically inconclusive at the current sample size, not as evidence of no effect.</w:t>
      </w:r>
    </w:p>
    <w:p>
      <w:pPr>
        <w:spacing w:after="6" w:before="6"/>
      </w:pPr>
      <w:r>
        <w:t xml:space="preserve"/>
      </w:r>
    </w:p>
    <w:p>
      <w:pPr>
        <w:pStyle w:val="Heading2"/>
        <w:spacing w:after="80" w:before="200"/>
      </w:pPr>
      <w:r>
        <w:rPr>
          <w:rFonts w:ascii="Arial" w:cs="Arial" w:eastAsia="Arial" w:hAnsi="Arial"/>
          <w:b/>
          <w:bCs/>
          <w:color w:val="1F3070"/>
          <w:sz w:val="22"/>
          <w:szCs w:val="22"/>
        </w:rPr>
        <w:t xml:space="preserve">3.6 Five-Fold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40"/>
        <w:gridCol w:w="1840"/>
        <w:gridCol w:w="1840"/>
        <w:gridCol w:w="1840"/>
      </w:tblGrid>
      <w:tr>
        <w:trPr>
          <w:tblHeader/>
        </w:trPr>
        <w:tc>
          <w:tcPr>
            <w:tcW w:type="dxa" w:w="14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Fold</w:t>
            </w:r>
          </w:p>
        </w:tc>
        <w:tc>
          <w:tcPr>
            <w:tcW w:type="dxa" w:w="16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w:t>
            </w:r>
          </w:p>
        </w:tc>
        <w:tc>
          <w:tcPr>
            <w:tcW w:type="dxa" w:w="18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CRAG</w:t>
            </w:r>
          </w:p>
        </w:tc>
        <w:tc>
          <w:tcPr>
            <w:tcW w:type="dxa" w:w="18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Naive</w:t>
            </w:r>
          </w:p>
        </w:tc>
        <w:tc>
          <w:tcPr>
            <w:tcW w:type="dxa" w:w="18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BM25</w:t>
            </w:r>
          </w:p>
        </w:tc>
        <w:tc>
          <w:tcPr>
            <w:tcW w:type="dxa" w:w="18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Vanilla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40</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0.2298</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0.2405</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0.1610</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0.2232</w:t>
            </w:r>
          </w:p>
        </w:tc>
      </w:tr>
      <w:tr>
        <w:tc>
          <w:tcPr>
            <w:tcW w:type="dxa" w:w="1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w:t>
            </w:r>
          </w:p>
        </w:tc>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40</w:t>
            </w:r>
          </w:p>
        </w:tc>
        <w:tc>
          <w:tcPr>
            <w:tcW w:type="dxa" w:w="18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0.2235</w:t>
            </w:r>
          </w:p>
        </w:tc>
        <w:tc>
          <w:tcPr>
            <w:tcW w:type="dxa" w:w="18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0.2306</w:t>
            </w:r>
          </w:p>
        </w:tc>
        <w:tc>
          <w:tcPr>
            <w:tcW w:type="dxa" w:w="18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0.1669</w:t>
            </w:r>
          </w:p>
        </w:tc>
        <w:tc>
          <w:tcPr>
            <w:tcW w:type="dxa" w:w="18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0.2144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40</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0.2329</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0.2091</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0.1860</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0.2053</w:t>
            </w:r>
          </w:p>
        </w:tc>
      </w:tr>
      <w:tr>
        <w:tc>
          <w:tcPr>
            <w:tcW w:type="dxa" w:w="1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40</w:t>
            </w:r>
          </w:p>
        </w:tc>
        <w:tc>
          <w:tcPr>
            <w:tcW w:type="dxa" w:w="18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0.2396</w:t>
            </w:r>
          </w:p>
        </w:tc>
        <w:tc>
          <w:tcPr>
            <w:tcW w:type="dxa" w:w="18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0.2478</w:t>
            </w:r>
          </w:p>
        </w:tc>
        <w:tc>
          <w:tcPr>
            <w:tcW w:type="dxa" w:w="18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0.1954</w:t>
            </w:r>
          </w:p>
        </w:tc>
        <w:tc>
          <w:tcPr>
            <w:tcW w:type="dxa" w:w="18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0.2121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40</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0.2153</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0.1943</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0.1574</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0.1851</w:t>
            </w:r>
          </w:p>
        </w:tc>
      </w:tr>
      <w:tr>
        <w:tc>
          <w:tcPr>
            <w:tcW w:type="dxa" w:w="14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Mean</w:t>
            </w:r>
          </w:p>
        </w:tc>
        <w:tc>
          <w:tcPr>
            <w:tcW w:type="dxa" w:w="16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200</w:t>
            </w:r>
          </w:p>
        </w:tc>
        <w:tc>
          <w:tcPr>
            <w:tcW w:type="dxa" w:w="18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0.2283</w:t>
            </w:r>
          </w:p>
        </w:tc>
        <w:tc>
          <w:tcPr>
            <w:tcW w:type="dxa" w:w="18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0.2244</w:t>
            </w:r>
          </w:p>
        </w:tc>
        <w:tc>
          <w:tcPr>
            <w:tcW w:type="dxa" w:w="18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0.1733</w:t>
            </w:r>
          </w:p>
        </w:tc>
        <w:tc>
          <w:tcPr>
            <w:tcW w:type="dxa" w:w="18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0.2080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Top system per fold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 of 5</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3 of 5</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 of 5</w:t>
            </w:r>
          </w:p>
        </w:tc>
        <w:tc>
          <w:tcPr>
            <w:tcW w:type="dxa" w:w="1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 of 5</w:t>
            </w:r>
          </w:p>
        </w:tc>
      </w:tr>
    </w:tbl>
    <w:p>
      <w:pPr>
        <w:spacing w:after="80" w:before="40"/>
        <w:jc w:val="center"/>
      </w:pPr>
      <w:r>
        <w:rPr>
          <w:rFonts w:ascii="Arial" w:cs="Arial" w:eastAsia="Arial" w:hAnsi="Arial"/>
          <w:i/>
          <w:iCs/>
          <w:color w:val="666666"/>
          <w:sz w:val="18"/>
          <w:szCs w:val="18"/>
        </w:rPr>
        <w:t xml:space="preserve">Table 8. 5-fold cross-validation of ROUGE-L against gold answers. CRAG and Naive RAG win 2 and 3 folds respectively; the ranking between these two systems is not stable fold-to-fold.</w:t>
      </w:r>
    </w:p>
    <w:p>
      <w:pPr>
        <w:spacing w:after="6" w:before="6"/>
      </w:pPr>
      <w:r>
        <w:t xml:space="preserve"/>
      </w:r>
    </w:p>
    <w:p>
      <w:pPr>
        <w:pStyle w:val="Heading2"/>
        <w:spacing w:after="80" w:before="200"/>
      </w:pPr>
      <w:r>
        <w:rPr>
          <w:rFonts w:ascii="Arial" w:cs="Arial" w:eastAsia="Arial" w:hAnsi="Arial"/>
          <w:b/>
          <w:bCs/>
          <w:color w:val="1F3070"/>
          <w:sz w:val="22"/>
          <w:szCs w:val="22"/>
        </w:rPr>
        <w:t xml:space="preserve">3.7 Fairness by Course</w:t>
      </w:r>
    </w:p>
    <w:p>
      <w:pPr>
        <w:spacing w:after="80" w:before="80" w:line="300"/>
        <w:jc w:val="both"/>
      </w:pPr>
      <w:r>
        <w:rPr>
          <w:rFonts w:ascii="Arial" w:cs="Arial" w:eastAsia="Arial" w:hAnsi="Arial"/>
          <w:sz w:val="21"/>
          <w:szCs w:val="21"/>
        </w:rPr>
        <w:t xml:space="preserve">Table 9 reports ROUGE-L by course across the five represented courses (the gold corpus spans five courses, not the eight originally targeted). Each course contributes 40 pairs.</w:t>
      </w:r>
    </w:p>
    <w:p>
      <w:pPr>
        <w:spacing w:after="6"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240"/>
        <w:gridCol w:w="1240"/>
        <w:gridCol w:w="1240"/>
        <w:gridCol w:w="1240"/>
      </w:tblGrid>
      <w:tr>
        <w:trPr>
          <w:tblHeader/>
        </w:trPr>
        <w:tc>
          <w:tcPr>
            <w:tcW w:type="dxa" w:w="34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Course</w:t>
            </w:r>
          </w:p>
        </w:tc>
        <w:tc>
          <w:tcPr>
            <w:tcW w:type="dxa" w:w="10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w:t>
            </w:r>
          </w:p>
        </w:tc>
        <w:tc>
          <w:tcPr>
            <w:tcW w:type="dxa" w:w="12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CRAG</w:t>
            </w:r>
          </w:p>
        </w:tc>
        <w:tc>
          <w:tcPr>
            <w:tcW w:type="dxa" w:w="12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Naive</w:t>
            </w:r>
          </w:p>
        </w:tc>
        <w:tc>
          <w:tcPr>
            <w:tcW w:type="dxa" w:w="12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BM25</w:t>
            </w:r>
          </w:p>
        </w:tc>
        <w:tc>
          <w:tcPr>
            <w:tcW w:type="dxa" w:w="124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Vanilla</w:t>
            </w:r>
          </w:p>
        </w:tc>
      </w:tr>
      <w:tr>
        <w:tc>
          <w:tcPr>
            <w:tcW w:type="dxa" w:w="34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CSM 478 Computer Networks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40</w:t>
            </w:r>
          </w:p>
        </w:tc>
        <w:tc>
          <w:tcPr>
            <w:tcW w:type="dxa" w:w="1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0.2698</w:t>
            </w:r>
          </w:p>
        </w:tc>
        <w:tc>
          <w:tcPr>
            <w:tcW w:type="dxa" w:w="1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0.2560</w:t>
            </w:r>
          </w:p>
        </w:tc>
        <w:tc>
          <w:tcPr>
            <w:tcW w:type="dxa" w:w="1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0.1821</w:t>
            </w:r>
          </w:p>
        </w:tc>
        <w:tc>
          <w:tcPr>
            <w:tcW w:type="dxa" w:w="1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0.2162</w:t>
            </w:r>
          </w:p>
        </w:tc>
      </w:tr>
      <w:tr>
        <w:tc>
          <w:tcPr>
            <w:tcW w:type="dxa" w:w="3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Computer Security &amp; Pen. Testing</w:t>
            </w:r>
          </w:p>
        </w:tc>
        <w:tc>
          <w:tcPr>
            <w:tcW w:type="dxa" w:w="10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40</w:t>
            </w:r>
          </w:p>
        </w:tc>
        <w:tc>
          <w:tcPr>
            <w:tcW w:type="dxa" w:w="12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0.2478</w:t>
            </w:r>
          </w:p>
        </w:tc>
        <w:tc>
          <w:tcPr>
            <w:tcW w:type="dxa" w:w="12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0.2631</w:t>
            </w:r>
          </w:p>
        </w:tc>
        <w:tc>
          <w:tcPr>
            <w:tcW w:type="dxa" w:w="12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0.2221</w:t>
            </w:r>
          </w:p>
        </w:tc>
        <w:tc>
          <w:tcPr>
            <w:tcW w:type="dxa" w:w="12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0.1836</w:t>
            </w:r>
          </w:p>
        </w:tc>
      </w:tr>
      <w:tr>
        <w:tc>
          <w:tcPr>
            <w:tcW w:type="dxa" w:w="34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Expert Systems</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40</w:t>
            </w:r>
          </w:p>
        </w:tc>
        <w:tc>
          <w:tcPr>
            <w:tcW w:type="dxa" w:w="1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0.2469</w:t>
            </w:r>
          </w:p>
        </w:tc>
        <w:tc>
          <w:tcPr>
            <w:tcW w:type="dxa" w:w="1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0.2360</w:t>
            </w:r>
          </w:p>
        </w:tc>
        <w:tc>
          <w:tcPr>
            <w:tcW w:type="dxa" w:w="1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0.1657</w:t>
            </w:r>
          </w:p>
        </w:tc>
        <w:tc>
          <w:tcPr>
            <w:tcW w:type="dxa" w:w="12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0.2008</w:t>
            </w:r>
          </w:p>
        </w:tc>
      </w:tr>
      <w:tr>
        <w:tc>
          <w:tcPr>
            <w:tcW w:type="dxa" w:w="3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Introduction to Compilers</w:t>
            </w:r>
          </w:p>
        </w:tc>
        <w:tc>
          <w:tcPr>
            <w:tcW w:type="dxa" w:w="10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40</w:t>
            </w:r>
          </w:p>
        </w:tc>
        <w:tc>
          <w:tcPr>
            <w:tcW w:type="dxa" w:w="12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0.1615</w:t>
            </w:r>
          </w:p>
        </w:tc>
        <w:tc>
          <w:tcPr>
            <w:tcW w:type="dxa" w:w="12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0.1347</w:t>
            </w:r>
          </w:p>
        </w:tc>
        <w:tc>
          <w:tcPr>
            <w:tcW w:type="dxa" w:w="12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0.1278</w:t>
            </w:r>
          </w:p>
        </w:tc>
        <w:tc>
          <w:tcPr>
            <w:tcW w:type="dxa" w:w="124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0.1951</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MCS 472 Entrepreneurship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40</w:t>
            </w:r>
          </w:p>
        </w:tc>
        <w:tc>
          <w:tcPr>
            <w:tcW w:type="dxa" w:w="1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0.2153</w:t>
            </w:r>
          </w:p>
        </w:tc>
        <w:tc>
          <w:tcPr>
            <w:tcW w:type="dxa" w:w="1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0.2325</w:t>
            </w:r>
          </w:p>
        </w:tc>
        <w:tc>
          <w:tcPr>
            <w:tcW w:type="dxa" w:w="1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0.1690</w:t>
            </w:r>
          </w:p>
        </w:tc>
        <w:tc>
          <w:tcPr>
            <w:tcW w:type="dxa" w:w="1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0.2445</w:t>
            </w:r>
          </w:p>
        </w:tc>
      </w:tr>
    </w:tbl>
    <w:p>
      <w:pPr>
        <w:spacing w:after="80" w:before="40"/>
        <w:jc w:val="center"/>
      </w:pPr>
      <w:r>
        <w:rPr>
          <w:rFonts w:ascii="Arial" w:cs="Arial" w:eastAsia="Arial" w:hAnsi="Arial"/>
          <w:i/>
          <w:iCs/>
          <w:color w:val="666666"/>
          <w:sz w:val="18"/>
          <w:szCs w:val="18"/>
        </w:rPr>
        <w:t xml:space="preserve">Table 9. ROUGE-L by course (n=200 gold pairs). CRAG is not the top-scoring system in 3 of 5 courses (Computer Security, Introduction to Compilers, MCS 472 Entrepreneurship); this is reported as observed, not adjusted or aggregated to obscure the pattern.</w:t>
      </w:r>
    </w:p>
    <w:p>
      <w:pPr>
        <w:spacing w:after="6" w:before="6"/>
      </w:pPr>
      <w:r>
        <w:t xml:space="preserve"/>
      </w:r>
    </w:p>
    <w:p>
      <w:pPr>
        <w:pStyle w:val="Heading2"/>
        <w:spacing w:after="80" w:before="200"/>
      </w:pPr>
      <w:r>
        <w:rPr>
          <w:rFonts w:ascii="Arial" w:cs="Arial" w:eastAsia="Arial" w:hAnsi="Arial"/>
          <w:b/>
          <w:bCs/>
          <w:color w:val="1F3070"/>
          <w:sz w:val="22"/>
          <w:szCs w:val="22"/>
        </w:rPr>
        <w:t xml:space="preserve">3.8 Perturbation Analysis</w:t>
      </w:r>
    </w:p>
    <w:p>
      <w:pPr>
        <w:spacing w:after="80" w:before="80" w:line="300"/>
        <w:jc w:val="both"/>
      </w:pPr>
      <w:r>
        <w:rPr>
          <w:rFonts w:ascii="Arial" w:cs="Arial" w:eastAsia="Arial" w:hAnsi="Arial"/>
          <w:sz w:val="21"/>
          <w:szCs w:val="21"/>
        </w:rPr>
        <w:t xml:space="preserve">Table 10 reports Macro F1 for the engineered classifier (seed 123) under three query perturbation conditions, using the exact trained model and the exact stratified test-fold queries and labels from that seed — verified by a self-test confirming the unperturbed condition reproduces the seed's own reported test Macro F1 exactly (0.7107).</w:t>
      </w:r>
    </w:p>
    <w:p>
      <w:pPr>
        <w:spacing w:after="6"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2200"/>
        <w:gridCol w:w="2400"/>
      </w:tblGrid>
      <w:tr>
        <w:trPr>
          <w:tblHeader/>
        </w:trPr>
        <w:tc>
          <w:tcPr>
            <w:tcW w:type="dxa" w:w="32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Condition</w:t>
            </w:r>
          </w:p>
        </w:tc>
        <w:tc>
          <w:tcPr>
            <w:tcW w:type="dxa" w:w="156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 queries</w:t>
            </w:r>
          </w:p>
        </w:tc>
        <w:tc>
          <w:tcPr>
            <w:tcW w:type="dxa" w:w="22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Macro F1</w:t>
            </w:r>
          </w:p>
        </w:tc>
        <w:tc>
          <w:tcPr>
            <w:tcW w:type="dxa" w:w="24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Drop from Original</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Original (unperturbed)</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22</w:t>
            </w:r>
          </w:p>
        </w:tc>
        <w:tc>
          <w:tcPr>
            <w:tcW w:type="dxa" w:w="2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0.7107</w:t>
            </w:r>
          </w:p>
        </w:tc>
        <w:tc>
          <w:tcPr>
            <w:tcW w:type="dxa" w:w="24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 (self-test verified)</w:t>
            </w:r>
          </w:p>
        </w:tc>
      </w:tr>
      <w:tr>
        <w:tc>
          <w:tcPr>
            <w:tcW w:type="dxa" w:w="3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Paraphrased</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22</w:t>
            </w:r>
          </w:p>
        </w:tc>
        <w:tc>
          <w:tcPr>
            <w:tcW w:type="dxa" w:w="2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0.4576</w:t>
            </w:r>
          </w:p>
        </w:tc>
        <w:tc>
          <w:tcPr>
            <w:tcW w:type="dxa" w:w="24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−0.2532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Ghanaian English phrasing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0.7107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0.0000</w:t>
            </w:r>
          </w:p>
        </w:tc>
      </w:tr>
      <w:tr>
        <w:tc>
          <w:tcPr>
            <w:tcW w:type="dxa" w:w="32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Typos / abbreviations</w:t>
            </w:r>
          </w:p>
        </w:tc>
        <w:tc>
          <w:tcPr>
            <w:tcW w:type="dxa" w:w="156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22</w:t>
            </w:r>
          </w:p>
        </w:tc>
        <w:tc>
          <w:tcPr>
            <w:tcW w:type="dxa" w:w="22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0.7107</w:t>
            </w:r>
          </w:p>
        </w:tc>
        <w:tc>
          <w:tcPr>
            <w:tcW w:type="dxa" w:w="2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0.0000</w:t>
            </w:r>
          </w:p>
        </w:tc>
      </w:tr>
    </w:tbl>
    <w:p>
      <w:pPr>
        <w:spacing w:after="80" w:before="40"/>
        <w:jc w:val="center"/>
      </w:pPr>
      <w:r>
        <w:rPr>
          <w:rFonts w:ascii="Arial" w:cs="Arial" w:eastAsia="Arial" w:hAnsi="Arial"/>
          <w:i/>
          <w:iCs/>
          <w:color w:val="666666"/>
          <w:sz w:val="18"/>
          <w:szCs w:val="18"/>
        </w:rPr>
        <w:t xml:space="preserve">Table 10. Perturbation analysis, corrected pairing (all 22 rows verified query-to-label matched). Red shading marks a substantial robustness gap.</w:t>
      </w:r>
    </w:p>
    <w:p>
      <w:pPr>
        <w:spacing w:after="80" w:before="80" w:line="300"/>
        <w:jc w:val="both"/>
      </w:pPr>
      <w:r>
        <w:rPr>
          <w:rFonts w:ascii="Arial" w:cs="Arial" w:eastAsia="Arial" w:hAnsi="Arial"/>
          <w:sz w:val="21"/>
          <w:szCs w:val="21"/>
        </w:rPr>
        <w:t xml:space="preserve">The classifier shows zero Macro F1 change under Ghanaian-English-influenced phrasing or typographic abbreviation (Table 10), and a 0.2532-point Macro F1 drop under lexical paraphrasing (e.g., substituting "define" for "what is"). This pattern is reported as a limitation of the current classifier rather than generalised into a robustness or semantic-understanding claim.</w:t>
      </w:r>
    </w:p>
    <w:p>
      <w:pPr>
        <w:spacing w:after="6" w:before="6"/>
      </w:pPr>
      <w:r>
        <w:t xml:space="preserve"/>
      </w:r>
    </w:p>
    <w:p>
      <w:pPr>
        <w:pStyle w:val="Heading2"/>
        <w:spacing w:after="80" w:before="200"/>
      </w:pPr>
      <w:r>
        <w:rPr>
          <w:rFonts w:ascii="Arial" w:cs="Arial" w:eastAsia="Arial" w:hAnsi="Arial"/>
          <w:b/>
          <w:bCs/>
          <w:color w:val="1F3070"/>
          <w:sz w:val="22"/>
          <w:szCs w:val="22"/>
        </w:rPr>
        <w:t xml:space="preserve">3.9 User Trust Study</w:t>
      </w:r>
    </w:p>
    <w:p>
      <w:pPr>
        <w:spacing w:after="80" w:before="80" w:line="300"/>
        <w:jc w:val="both"/>
      </w:pPr>
      <w:r>
        <w:rPr>
          <w:rFonts w:ascii="Arial" w:cs="Arial" w:eastAsia="Arial" w:hAnsi="Arial"/>
          <w:sz w:val="21"/>
          <w:szCs w:val="21"/>
        </w:rPr>
        <w:t xml:space="preserve">A total of 298 KNUST students (219 CS, 79 non-CS; 152 male, 144 female, 2 gender field blank) completed a 15-item questionnaire — seven trust/usability items (5-point Likert) and three NASA-TLX cognitive load items (5-point Likert, lower = better) — after using the Nyansapo system. Overall trust scored 4.1795 ± 0.8343, significantly above the 3.0 scale midpoint (one-sample t-test, t=24.3252, p&lt;0.000001). NASA-TLX cognitive load scored 1.8761 ± 0.9051. CS students reported higher trust than non-CS students (4.2492 vs 3.9814, Mann-Whitney U=10145.0, p=0.005008, d=0.3217). No significant gender difference was found (male 4.2199, female 4.1369, Mann-Whitney U=11492.5, p=0.430662). The 152+144=296 vs n=298 discrepancy previously flagged is confirmed by the reproducible analysis cell to be exactly 2 respondents who left the gender field blank; this is stated as a confirmed data property rather than an inferred explanation.</w:t>
      </w:r>
    </w:p>
    <w:p>
      <w:pPr>
        <w:spacing w:after="6" w:before="6"/>
      </w:pPr>
      <w:r>
        <w:t xml:space="preserve"/>
      </w:r>
    </w:p>
    <w:p>
      <w:pPr>
        <w:pStyle w:val="Heading2"/>
        <w:spacing w:after="80" w:before="200"/>
      </w:pPr>
      <w:r>
        <w:rPr>
          <w:rFonts w:ascii="Arial" w:cs="Arial" w:eastAsia="Arial" w:hAnsi="Arial"/>
          <w:b/>
          <w:bCs/>
          <w:color w:val="1F3070"/>
          <w:sz w:val="22"/>
          <w:szCs w:val="22"/>
        </w:rPr>
        <w:t xml:space="preserve">3.10 Deployment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Metric</w:t>
            </w:r>
          </w:p>
        </w:tc>
        <w:tc>
          <w:tcPr>
            <w:tcW w:type="dxa" w:w="308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Online (Phi-2, Colab T4)</w:t>
            </w:r>
          </w:p>
        </w:tc>
        <w:tc>
          <w:tcPr>
            <w:tcW w:type="dxa" w:w="308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Offline (Phi-4-mini, M1 Pro)</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Mean latency</w:t>
            </w:r>
          </w:p>
        </w:tc>
        <w:tc>
          <w:tcPr>
            <w:tcW w:type="dxa" w:w="3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10.55 s</w:t>
            </w:r>
          </w:p>
        </w:tc>
        <w:tc>
          <w:tcPr>
            <w:tcW w:type="dxa" w:w="30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spacing w:after="30" w:before="30"/>
              <w:jc w:val="center"/>
            </w:pPr>
            <w:r>
              <w:rPr>
                <w:rFonts w:ascii="Arial" w:cs="Arial" w:eastAsia="Arial" w:hAnsi="Arial"/>
                <w:b/>
                <w:bCs/>
                <w:sz w:val="18"/>
                <w:szCs w:val="18"/>
              </w:rPr>
              <w:t xml:space="preserve">3.60 s</w:t>
            </w:r>
          </w:p>
        </w:tc>
      </w:tr>
      <w:tr>
        <w:tc>
          <w:tcPr>
            <w:tcW w:type="dxa" w:w="32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Internet required</w:t>
            </w:r>
          </w:p>
        </w:tc>
        <w:tc>
          <w:tcPr>
            <w:tcW w:type="dxa" w:w="30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Yes</w:t>
            </w:r>
          </w:p>
        </w:tc>
        <w:tc>
          <w:tcPr>
            <w:tcW w:type="dxa" w:w="30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Relative speed</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30" w:before="30"/>
              <w:jc w:val="center"/>
            </w:pPr>
            <w:r>
              <w:rPr>
                <w:rFonts w:ascii="Arial" w:cs="Arial" w:eastAsia="Arial" w:hAnsi="Arial"/>
                <w:b w:val="false"/>
                <w:bCs w:val="false"/>
                <w:sz w:val="18"/>
                <w:szCs w:val="18"/>
              </w:rPr>
              <w:t xml:space="preserve">2.93× faster</w:t>
            </w:r>
          </w:p>
        </w:tc>
      </w:tr>
    </w:tbl>
    <w:p>
      <w:pPr>
        <w:spacing w:after="80" w:before="40"/>
        <w:jc w:val="center"/>
      </w:pPr>
      <w:r>
        <w:rPr>
          <w:rFonts w:ascii="Arial" w:cs="Arial" w:eastAsia="Arial" w:hAnsi="Arial"/>
          <w:i/>
          <w:iCs/>
          <w:color w:val="666666"/>
          <w:sz w:val="18"/>
          <w:szCs w:val="18"/>
        </w:rPr>
        <w:t xml:space="preserve">Table 11. Online vs offline deployment latency (n=100 queries per mode).</w:t>
      </w:r>
    </w:p>
    <w:p>
      <w:pPr>
        <w:spacing w:after="6" w:before="6"/>
      </w:pPr>
      <w:r>
        <w:t xml:space="preserve"/>
      </w:r>
    </w:p>
    <w:p>
      <w:pPr>
        <w:pStyle w:val="Heading2"/>
        <w:spacing w:after="80" w:before="200"/>
      </w:pPr>
      <w:r>
        <w:rPr>
          <w:rFonts w:ascii="Arial" w:cs="Arial" w:eastAsia="Arial" w:hAnsi="Arial"/>
          <w:b/>
          <w:bCs/>
          <w:color w:val="1F3070"/>
          <w:sz w:val="22"/>
          <w:szCs w:val="22"/>
        </w:rPr>
        <w:t xml:space="preserve">3.11 Non-Confirmatory and Negative Results</w:t>
      </w:r>
    </w:p>
    <w:p>
      <w:pPr>
        <w:spacing w:after="80" w:before="80" w:line="300"/>
        <w:jc w:val="both"/>
      </w:pPr>
      <w:r>
        <w:rPr>
          <w:rFonts w:ascii="Arial" w:cs="Arial" w:eastAsia="Arial" w:hAnsi="Arial"/>
          <w:sz w:val="21"/>
          <w:szCs w:val="21"/>
        </w:rPr>
        <w:t xml:space="preserve">The following results did not favour the proposed system and are reported with the same completeness as favourable findings, per the non-confirmatory reporting standard applied throughout this section:</w:t>
      </w:r>
    </w:p>
    <w:p>
      <w:pPr>
        <w:spacing w:after="4" w:before="4"/>
      </w:pPr>
      <w:r>
        <w:t xml:space="preserve"/>
      </w:r>
    </w:p>
    <w:p>
      <w:pPr>
        <w:spacing w:after="80" w:before="80" w:line="300"/>
        <w:jc w:val="both"/>
      </w:pPr>
      <w:r>
        <w:rPr>
          <w:rFonts w:ascii="Arial" w:cs="Arial" w:eastAsia="Arial" w:hAnsi="Arial"/>
          <w:b/>
          <w:bCs/>
          <w:sz w:val="21"/>
          <w:szCs w:val="21"/>
        </w:rPr>
        <w:t xml:space="preserve">CRAG vs Naive RAG: </w:t>
      </w:r>
      <w:r>
        <w:rPr>
          <w:rFonts w:ascii="Arial" w:cs="Arial" w:eastAsia="Arial" w:hAnsi="Arial"/>
          <w:sz w:val="21"/>
          <w:szCs w:val="21"/>
        </w:rPr>
        <w:t xml:space="preserve">Not statistically significant (p=0.554, d≈0.03). The CRAG evaluator's corrective query-rewriting step did not produce a measurable ROUGE-L improvement over naive retrieval at n=200. Naive RAG won 3 of 5 cross-validation folds against CRAG's 2.</w:t>
      </w:r>
    </w:p>
    <w:p>
      <w:pPr>
        <w:spacing w:after="4" w:before="4"/>
      </w:pPr>
      <w:r>
        <w:t xml:space="preserve"/>
      </w:r>
    </w:p>
    <w:p>
      <w:pPr>
        <w:spacing w:after="80" w:before="80" w:line="300"/>
        <w:jc w:val="both"/>
      </w:pPr>
      <w:r>
        <w:rPr>
          <w:rFonts w:ascii="Arial" w:cs="Arial" w:eastAsia="Arial" w:hAnsi="Arial"/>
          <w:b/>
          <w:bCs/>
          <w:sz w:val="21"/>
          <w:szCs w:val="21"/>
        </w:rPr>
        <w:t xml:space="preserve">CRAG vs Vanilla LLM: </w:t>
      </w:r>
      <w:r>
        <w:rPr>
          <w:rFonts w:ascii="Arial" w:cs="Arial" w:eastAsia="Arial" w:hAnsi="Arial"/>
          <w:sz w:val="21"/>
          <w:szCs w:val="21"/>
        </w:rPr>
        <w:t xml:space="preserve">Not statistically significant at n=200 (p=0.056). Post-hoc power analysis shows achieved power of 0.4436 against a required n≥413 for 80% power at the observed effect size. Reported as inconclusive due to insufficient sample size, not as absence of effect.</w:t>
      </w:r>
    </w:p>
    <w:p>
      <w:pPr>
        <w:spacing w:after="4" w:before="4"/>
      </w:pPr>
      <w:r>
        <w:t xml:space="preserve"/>
      </w:r>
    </w:p>
    <w:p>
      <w:pPr>
        <w:spacing w:after="80" w:before="80" w:line="300"/>
        <w:jc w:val="both"/>
      </w:pPr>
      <w:r>
        <w:rPr>
          <w:rFonts w:ascii="Arial" w:cs="Arial" w:eastAsia="Arial" w:hAnsi="Arial"/>
          <w:b/>
          <w:bCs/>
          <w:sz w:val="21"/>
          <w:szCs w:val="21"/>
        </w:rPr>
        <w:t xml:space="preserve">Fairness by course: </w:t>
      </w:r>
      <w:r>
        <w:rPr>
          <w:rFonts w:ascii="Arial" w:cs="Arial" w:eastAsia="Arial" w:hAnsi="Arial"/>
          <w:sz w:val="21"/>
          <w:szCs w:val="21"/>
        </w:rPr>
        <w:t xml:space="preserve">CRAG is not the top-performing system in 3 of 5 courses. No equity claim is made for the system across all subject domains; the pattern by course is reported in full in Table 9.</w:t>
      </w:r>
    </w:p>
    <w:p>
      <w:pPr>
        <w:spacing w:after="4" w:before="4"/>
      </w:pPr>
      <w:r>
        <w:t xml:space="preserve"/>
      </w:r>
    </w:p>
    <w:p>
      <w:pPr>
        <w:spacing w:after="80" w:before="80" w:line="300"/>
        <w:jc w:val="both"/>
      </w:pPr>
      <w:r>
        <w:rPr>
          <w:rFonts w:ascii="Arial" w:cs="Arial" w:eastAsia="Arial" w:hAnsi="Arial"/>
          <w:b/>
          <w:bCs/>
          <w:sz w:val="21"/>
          <w:szCs w:val="21"/>
        </w:rPr>
        <w:t xml:space="preserve">Perturbation under paraphrase: </w:t>
      </w:r>
      <w:r>
        <w:rPr>
          <w:rFonts w:ascii="Arial" w:cs="Arial" w:eastAsia="Arial" w:hAnsi="Arial"/>
          <w:sz w:val="21"/>
          <w:szCs w:val="21"/>
        </w:rPr>
        <w:t xml:space="preserve">A 0.2532-point Macro F1 drop under lexical paraphrasing indicates the classifier is sensitive to specific surface-form phrasing rather than robust to semantically equivalent rewordings.</w:t>
      </w:r>
    </w:p>
    <w:p>
      <w:pPr>
        <w:spacing w:after="4" w:before="4"/>
      </w:pPr>
      <w:r>
        <w:t xml:space="preserve"/>
      </w:r>
    </w:p>
    <w:p>
      <w:pPr>
        <w:spacing w:after="80" w:before="80" w:line="300"/>
        <w:jc w:val="both"/>
      </w:pPr>
      <w:r>
        <w:rPr>
          <w:rFonts w:ascii="Arial" w:cs="Arial" w:eastAsia="Arial" w:hAnsi="Arial"/>
          <w:b/>
          <w:bCs/>
          <w:sz w:val="21"/>
          <w:szCs w:val="21"/>
        </w:rPr>
        <w:t xml:space="preserve">Seed 42 per-class recall: </w:t>
      </w:r>
      <w:r>
        <w:rPr>
          <w:rFonts w:ascii="Arial" w:cs="Arial" w:eastAsia="Arial" w:hAnsi="Arial"/>
          <w:sz w:val="21"/>
          <w:szCs w:val="21"/>
        </w:rPr>
        <w:t xml:space="preserve">Zero recall on Explanation (n=4 test) and Identification (n=1 test) at this seed, despite an aggregate Macro F1 of 0.7714 for the same run — the aggregate metric does not surface this failure without the per-class breakdown in Table 4.</w:t>
      </w:r>
    </w:p>
    <w:p>
      <w:pPr>
        <w:spacing w:after="20" w:before="20"/>
      </w:pPr>
      <w:r>
        <w:t xml:space="preserve"/>
      </w:r>
    </w:p>
    <w:p>
      <w:pPr>
        <w:pBdr>
          <w:top w:val="single" w:color="CCCCCC" w:sz="2" w:space="4"/>
        </w:pBdr>
        <w:spacing w:after="60" w:before="60"/>
        <w:jc w:val="center"/>
      </w:pPr>
      <w:r>
        <w:rPr>
          <w:rFonts w:ascii="Arial" w:cs="Arial" w:eastAsia="Arial" w:hAnsi="Arial"/>
          <w:i/>
          <w:iCs/>
          <w:color w:val="666666"/>
          <w:sz w:val="18"/>
          <w:szCs w:val="18"/>
        </w:rPr>
        <w:t xml:space="preserve">Nyansapo Research Team — Group 1 — KNUST 2025–2026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2E4099"/>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F30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2026-09-13T20:18:31.977Z</dcterms:created>
  <dcterms:modified xsi:type="dcterms:W3CDTF">2026-09-13T20:18:31.977Z</dcterms:modified>
</cp:coreProperties>
</file>

<file path=docProps/custom.xml><?xml version="1.0" encoding="utf-8"?>
<Properties xmlns="http://schemas.openxmlformats.org/officeDocument/2006/custom-properties" xmlns:vt="http://schemas.openxmlformats.org/officeDocument/2006/docPropsVTypes"/>
</file>