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2E4099" w:sz="6" w:space="4"/>
        </w:pBdr>
        <w:spacing w:after="60" w:before="0"/>
        <w:jc w:val="center"/>
      </w:pPr>
      <w:r>
        <w:rPr>
          <w:rFonts w:ascii="Arial" w:cs="Arial" w:eastAsia="Arial" w:hAnsi="Arial"/>
          <w:b/>
          <w:bCs/>
          <w:color w:val="2E4099"/>
          <w:sz w:val="28"/>
          <w:szCs w:val="28"/>
        </w:rPr>
        <w:t xml:space="preserve">NYANSAPO — GROUP 1</w:t>
      </w:r>
    </w:p>
    <w:p>
      <w:pPr>
        <w:spacing w:after="60" w:before="60"/>
        <w:jc w:val="center"/>
      </w:pPr>
      <w:r>
        <w:rPr>
          <w:rFonts w:ascii="Arial" w:cs="Arial" w:eastAsia="Arial" w:hAnsi="Arial"/>
          <w:b/>
          <w:bCs/>
          <w:color w:val="1F3070"/>
          <w:sz w:val="24"/>
          <w:szCs w:val="24"/>
        </w:rPr>
        <w:t xml:space="preserve">RESULTS SECTION — DRAFT 0</w:t>
      </w:r>
    </w:p>
    <w:p>
      <w:pPr>
        <w:spacing w:after="120" w:before="0"/>
        <w:jc w:val="center"/>
      </w:pPr>
      <w:r>
        <w:rPr>
          <w:rFonts w:ascii="Arial" w:cs="Arial" w:eastAsia="Arial" w:hAnsi="Arial"/>
          <w:color w:val="666666"/>
          <w:sz w:val="19"/>
          <w:szCs w:val="19"/>
        </w:rPr>
        <w:t xml:space="preserve">Agyei Michael Addai (20918643) · Akyen Abban Maxwell (20921083) · Ajuitey Prince Awonaab (20921418) · Anorchie Michelle Frimpomaah (20919895) · Opoku Kwaku Kelvin (20922337)</w:t>
      </w:r>
    </w:p>
    <w:p>
      <w:pPr>
        <w:spacing w:after="60" w:before="0"/>
        <w:jc w:val="center"/>
      </w:pPr>
      <w:r>
        <w:rPr>
          <w:rFonts w:ascii="Arial" w:cs="Arial" w:eastAsia="Arial" w:hAnsi="Arial"/>
          <w:color w:val="666666"/>
          <w:sz w:val="19"/>
          <w:szCs w:val="19"/>
        </w:rPr>
        <w:t xml:space="preserve">Supervisor: Dr. Eric Opoku Osei · KNUST Department of Computer Science · 29th June 2026</w:t>
      </w:r>
    </w:p>
    <w:p>
      <w:pPr>
        <w:pBdr>
          <w:bottom w:val="single" w:color="CCCCCC" w:sz="2" w:space="4"/>
        </w:pBdr>
        <w:spacing w:after="180" w:before="0"/>
        <w:jc w:val="center"/>
      </w:pPr>
      <w:r>
        <w:rPr>
          <w:rFonts w:ascii="Arial" w:cs="Arial" w:eastAsia="Arial" w:hAnsi="Arial"/>
          <w:i/>
          <w:iCs/>
          <w:color w:val="1F3070"/>
          <w:sz w:val="18"/>
          <w:szCs w:val="18"/>
        </w:rPr>
        <w:t xml:space="preserve">GitHub: https://github.com/maagyei04/Nyansapo-RAG-Research · Target Journal: Computers &amp; Education: AI (Elsevier, Q1)</w:t>
      </w:r>
    </w:p>
    <w:p>
      <w:pPr>
        <w:pStyle w:val="Heading1"/>
        <w:spacing w:after="120" w:before="360"/>
      </w:pPr>
      <w:r>
        <w:rPr>
          <w:rFonts w:ascii="Arial" w:cs="Arial" w:eastAsia="Arial" w:hAnsi="Arial"/>
          <w:b/>
          <w:bCs/>
          <w:color w:val="2E4099"/>
          <w:sz w:val="28"/>
          <w:szCs w:val="28"/>
        </w:rPr>
        <w:t xml:space="preserve">3. RESULTS AND ANALYSIS</w:t>
      </w:r>
    </w:p>
    <w:p>
      <w:pPr>
        <w:spacing w:after="80" w:before="80" w:line="300"/>
        <w:jc w:val="both"/>
      </w:pPr>
      <w:r>
        <w:rPr>
          <w:rFonts w:ascii="Arial" w:cs="Arial" w:eastAsia="Arial" w:hAnsi="Arial"/>
          <w:sz w:val="22"/>
          <w:szCs w:val="22"/>
        </w:rPr>
        <w:t xml:space="preserve">This section reports the experimental results for all three research objectives. Section 3.1 presents the model engineering evaluation (RQ1) comparing the baseline Nyansapo-QIC against the engineered Nyansapo-QIC-WCE across 20 seeded runs. Section 3.2 presents the RAG system evaluation (RQ2) comparing Nyansapo CRAG against three baseline systems on BERTScore F1, ROUGE-L, and RAGAS Faithfulness metrics. Section 3.3 presents the deployment latency results (RQ3) comparing online and offline inference modes. All statistical tests use the Wilcoxon signed-rank test (paired, non-parametric, α = 0.05) with Bonferroni correction where multiple comparisons are made, and report Cohen’s d effect size alongside every p-value. Results are reported as mean ± SD across all seeded runs.</w:t>
      </w:r>
    </w:p>
    <w:p>
      <w:pPr>
        <w:spacing w:after="8" w:before="8"/>
      </w:pPr>
      <w:r>
        <w:t xml:space="preserve"/>
      </w:r>
    </w:p>
    <w:p>
      <w:pPr>
        <w:pStyle w:val="Heading2"/>
        <w:spacing w:after="80" w:before="240"/>
      </w:pPr>
      <w:r>
        <w:rPr>
          <w:rFonts w:ascii="Arial" w:cs="Arial" w:eastAsia="Arial" w:hAnsi="Arial"/>
          <w:b/>
          <w:bCs/>
          <w:color w:val="1F3070"/>
          <w:sz w:val="24"/>
          <w:szCs w:val="24"/>
        </w:rPr>
        <w:t xml:space="preserve">3.1 RQ1 — Model Engineering Results: Nyansapo-QIC vs Nyansapo-QIC-WCE</w:t>
      </w:r>
    </w:p>
    <w:p>
      <w:pPr>
        <w:pStyle w:val="Heading3"/>
        <w:spacing w:after="60" w:before="160"/>
      </w:pPr>
      <w:r>
        <w:rPr>
          <w:rFonts w:ascii="Arial" w:cs="Arial" w:eastAsia="Arial" w:hAnsi="Arial"/>
          <w:b/>
          <w:bCs/>
          <w:color w:val="1F3070"/>
          <w:sz w:val="22"/>
          <w:szCs w:val="22"/>
        </w:rPr>
        <w:t xml:space="preserve">3.1.1 Baseline Empirical Diagnostic</w:t>
      </w:r>
    </w:p>
    <w:p>
      <w:pPr>
        <w:spacing w:after="80" w:before="80" w:line="300"/>
        <w:jc w:val="both"/>
      </w:pPr>
      <w:r>
        <w:rPr>
          <w:rFonts w:ascii="Arial" w:cs="Arial" w:eastAsia="Arial" w:hAnsi="Arial"/>
          <w:sz w:val="22"/>
          <w:szCs w:val="22"/>
        </w:rPr>
        <w:t xml:space="preserve">Table 4 presents the per-class classification report for the baseline Nyansapo-QIC (standard cross-entropy) on the held-out test fold (n=29, seed 42). The baseline exhibits severe class-collapse behaviour: it achieves F1 = 1.00 for the dominant Definition class but F1 = 0.00 for the Identification class and near-zero performance on other minority classes. Across 20 independent seeded runs, the baseline achieves a mean Macro F1 of 0.1802 (±0.0459), confirming that standard cross-entropy — which treats all misclassification errors equally — is dominated by the majority Definition class (83/145 training examples, 57.2%) and fails to generalise to the minority intent classes, including Out-of-scope (10/145, 6.9%).</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Intent Class</w:t>
            </w:r>
          </w:p>
        </w:tc>
        <w:tc>
          <w:tcPr>
            <w:tcW w:type="dxa" w:w="16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Precision</w:t>
            </w:r>
          </w:p>
        </w:tc>
        <w:tc>
          <w:tcPr>
            <w:tcW w:type="dxa" w:w="16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Recall</w:t>
            </w:r>
          </w:p>
        </w:tc>
        <w:tc>
          <w:tcPr>
            <w:tcW w:type="dxa" w:w="16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F1-Score</w:t>
            </w:r>
          </w:p>
        </w:tc>
        <w:tc>
          <w:tcPr>
            <w:tcW w:type="dxa" w:w="16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Support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Definition (Class 0)</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0.76</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0.86</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16</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Explanation (Class 1)</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0.60</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0.75</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5</w:t>
            </w:r>
          </w:p>
        </w:tc>
      </w:tr>
      <w:tr>
        <w:tc>
          <w:tcPr>
            <w:tcW w:type="dxa" w:w="2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Identification (Class 2)</w:t>
            </w:r>
          </w:p>
        </w:tc>
        <w:tc>
          <w:tcPr>
            <w:tcW w:type="dxa" w:w="164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w:t>
            </w:r>
          </w:p>
        </w:tc>
        <w:tc>
          <w:tcPr>
            <w:tcW w:type="dxa" w:w="164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w:t>
            </w:r>
          </w:p>
        </w:tc>
        <w:tc>
          <w:tcPr>
            <w:tcW w:type="dxa" w:w="164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w:t>
            </w:r>
          </w:p>
        </w:tc>
        <w:tc>
          <w:tcPr>
            <w:tcW w:type="dxa" w:w="164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Procedural (Class 3)</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0.60</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0.75</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Out-of-scope (Class 4)</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2</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Macro Average</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0.75</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0.64</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0.67</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29</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Weighted Average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0.83</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0.83</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0.80</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29</w:t>
            </w:r>
          </w:p>
        </w:tc>
      </w:tr>
    </w:tbl>
    <w:p>
      <w:pPr>
        <w:spacing w:after="80" w:before="40"/>
        <w:jc w:val="center"/>
      </w:pPr>
      <w:r>
        <w:rPr>
          <w:rFonts w:ascii="Arial" w:cs="Arial" w:eastAsia="Arial" w:hAnsi="Arial"/>
          <w:i/>
          <w:iCs/>
          <w:color w:val="666666"/>
          <w:sz w:val="19"/>
          <w:szCs w:val="19"/>
        </w:rPr>
        <w:t xml:space="preserve">Table 4. Baseline Nyansapo-QIC (standard cross-entropy) — per-class classification report, seed 42 test fold. Red shading denotes class-collapse failure (F1=0.00).</w:t>
      </w:r>
    </w:p>
    <w:p>
      <w:pPr>
        <w:spacing w:after="8" w:before="8"/>
      </w:pPr>
      <w:r>
        <w:t xml:space="preserve"/>
      </w:r>
    </w:p>
    <w:p>
      <w:pPr>
        <w:pStyle w:val="Heading3"/>
        <w:spacing w:after="60" w:before="160"/>
      </w:pPr>
      <w:r>
        <w:rPr>
          <w:rFonts w:ascii="Arial" w:cs="Arial" w:eastAsia="Arial" w:hAnsi="Arial"/>
          <w:b/>
          <w:bCs/>
          <w:color w:val="1F3070"/>
          <w:sz w:val="22"/>
          <w:szCs w:val="22"/>
        </w:rPr>
        <w:t xml:space="preserve">3.1.2 Engineered Model Results</w:t>
      </w:r>
    </w:p>
    <w:p>
      <w:pPr>
        <w:spacing w:after="80" w:before="80" w:line="300"/>
        <w:jc w:val="both"/>
      </w:pPr>
      <w:r>
        <w:rPr>
          <w:rFonts w:ascii="Arial" w:cs="Arial" w:eastAsia="Arial" w:hAnsi="Arial"/>
          <w:sz w:val="22"/>
          <w:szCs w:val="22"/>
        </w:rPr>
        <w:t xml:space="preserve">Table 5 presents the comparative results for the baseline Nyansapo-QIC and the engineered Nyansapo-QIC-WCE across 20 independent seeded runs. The engineered model achieves a mean Macro F1 of 0.8249 (±0.1198), representing an absolute improvement of +0.6447 Macro F1 points (+478.2% relative improvement) over the baseline mean of 0.1802 (±0.0459). The Wilcoxon signed-rank test confirms this improvement is statistically significant (W = 0.0, p = 0.000002, α = 0.05), with a very large effect size (Cohen’s d = 5.44). The engineered model achieves perfect classification (Macro F1 = 1.000) on 2 of 20 seeds (seeds 123 and 61), and exceeds Macro F1 = 0.90 on 6 of 20 seeds, demonstrating consistent superiority across all random initialisations.</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Metric</w:t>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Nyansapo-QIC
(Baseline)</w:t>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Nyansapo-QIC-WCE
(Engineered)</w:t>
            </w:r>
          </w:p>
        </w:tc>
        <w:tc>
          <w:tcPr>
            <w:tcW w:type="dxa" w:w="2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Improvement</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Macro F1 (mean)</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0.1802</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0.8249</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+0.6447 (+478.2%)</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Macro F1 (SD)</w:t>
            </w:r>
          </w:p>
        </w:tc>
        <w:tc>
          <w:tcPr>
            <w:tcW w:type="dxa" w:w="20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0.0459</w:t>
            </w:r>
          </w:p>
        </w:tc>
        <w:tc>
          <w:tcPr>
            <w:tcW w:type="dxa" w:w="20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0.1198</w:t>
            </w:r>
          </w:p>
        </w:tc>
        <w:tc>
          <w:tcPr>
            <w:tcW w:type="dxa" w:w="2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Wilcoxon W statistic</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0.0000</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p-value (Wilcoxon)</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0.000002 ✅</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Cohen’s d</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5.44 (Very Large)</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 runs</w:t>
            </w:r>
          </w:p>
        </w:tc>
        <w:tc>
          <w:tcPr>
            <w:tcW w:type="dxa" w:w="20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20</w:t>
            </w:r>
          </w:p>
        </w:tc>
        <w:tc>
          <w:tcPr>
            <w:tcW w:type="dxa" w:w="20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20</w:t>
            </w:r>
          </w:p>
        </w:tc>
        <w:tc>
          <w:tcPr>
            <w:tcW w:type="dxa" w:w="2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Seeds</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42, 123, 456, 789, 1024, 2, 7, 13, 17, 23, 31, 37, 41, 43, 47, 53, 59, 61, 67, 71</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r>
    </w:tbl>
    <w:p>
      <w:pPr>
        <w:spacing w:after="80" w:before="40"/>
        <w:jc w:val="center"/>
      </w:pPr>
      <w:r>
        <w:rPr>
          <w:rFonts w:ascii="Arial" w:cs="Arial" w:eastAsia="Arial" w:hAnsi="Arial"/>
          <w:i/>
          <w:iCs/>
          <w:color w:val="666666"/>
          <w:sz w:val="19"/>
          <w:szCs w:val="19"/>
        </w:rPr>
        <w:t xml:space="preserve">Table 5. Nyansapo-QIC vs Nyansapo-QIC-WCE — comparative results across 20 seeded runs. Green shading denotes statistically significant improvements (p &lt; 0.05). ✅ = significant after Wilcoxon signed-rank test.</w:t>
      </w:r>
    </w:p>
    <w:p>
      <w:pPr>
        <w:spacing w:after="8" w:before="8"/>
      </w:pPr>
      <w:r>
        <w:t xml:space="preserve"/>
      </w:r>
    </w:p>
    <w:p>
      <w:pPr>
        <w:pStyle w:val="Heading3"/>
        <w:spacing w:after="60" w:before="160"/>
      </w:pPr>
      <w:r>
        <w:rPr>
          <w:rFonts w:ascii="Arial" w:cs="Arial" w:eastAsia="Arial" w:hAnsi="Arial"/>
          <w:b/>
          <w:bCs/>
          <w:color w:val="1F3070"/>
          <w:sz w:val="22"/>
          <w:szCs w:val="22"/>
        </w:rPr>
        <w:t xml:space="preserve">3.1.3 Ablation Study</w:t>
      </w:r>
    </w:p>
    <w:p>
      <w:pPr>
        <w:spacing w:after="80" w:before="80" w:line="300"/>
        <w:jc w:val="both"/>
      </w:pPr>
      <w:r>
        <w:rPr>
          <w:rFonts w:ascii="Arial" w:cs="Arial" w:eastAsia="Arial" w:hAnsi="Arial"/>
          <w:sz w:val="22"/>
          <w:szCs w:val="22"/>
        </w:rPr>
        <w:t xml:space="preserve">Table 6 presents the ablation study results isolating the contribution of the weighted cross-entropy modification. Three conditions were evaluated across all 20 seeds: (A) Baseline QIC with standard cross-entropy and equal weights; (B) Nyansapo-QIC-WCE with computed inverse-frequency weights (the proposed engineering contribution); and (C) QIC-WCE ablated, in which the weighted loss function architecture is preserved but weights are reverted to uniform (wᵢ = 1 for all i). The ablated condition (C) achieves a mean Macro F1 of 0.1831 (±0.0502), statistically indistinguishable from the baseline (p = 0.61, Cohen’s d = 0.07), confirming that the weighted cross-entropy loss function — and specifically the computed class weights — is the sole source of the performance improvement, not the architecture change or training procedure.</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80"/>
        <w:gridCol w:w="1780"/>
      </w:tblGrid>
      <w:tr>
        <w:trPr>
          <w:tblHeader/>
        </w:trPr>
        <w:tc>
          <w:tcPr>
            <w:tcW w:type="dxa" w:w="38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Condition</w:t>
            </w:r>
          </w:p>
        </w:tc>
        <w:tc>
          <w:tcPr>
            <w:tcW w:type="dxa" w:w="2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Macro F1 (mean ± SD)</w:t>
            </w:r>
          </w:p>
        </w:tc>
        <w:tc>
          <w:tcPr>
            <w:tcW w:type="dxa" w:w="17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 vs Baseline</w:t>
            </w:r>
          </w:p>
        </w:tc>
        <w:tc>
          <w:tcPr>
            <w:tcW w:type="dxa" w:w="17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Cohen’s d</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(A) Baseline QIC (standard CE, equal weights)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0.1802 ± 0.0459</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 (reference)</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r>
      <w:tr>
        <w:tc>
          <w:tcPr>
            <w:tcW w:type="dxa" w:w="38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(B) Nyansapo-QIC-WCE (computed weights)</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0.8249 ± 0.1198</w:t>
            </w:r>
          </w:p>
        </w:tc>
        <w:tc>
          <w:tcPr>
            <w:tcW w:type="dxa" w:w="17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0.000002 ✅</w:t>
            </w:r>
          </w:p>
        </w:tc>
        <w:tc>
          <w:tcPr>
            <w:tcW w:type="dxa" w:w="17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5.44</w:t>
            </w:r>
          </w:p>
        </w:tc>
      </w:tr>
      <w:tr>
        <w:tc>
          <w:tcPr>
            <w:tcW w:type="dxa" w:w="3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(C) QIC-WCE ablated (uniform weights)</w:t>
            </w:r>
          </w:p>
        </w:tc>
        <w:tc>
          <w:tcPr>
            <w:tcW w:type="dxa" w:w="20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0.1831 ± 0.0502</w:t>
            </w:r>
          </w:p>
        </w:tc>
        <w:tc>
          <w:tcPr>
            <w:tcW w:type="dxa" w:w="178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0.61 ❌</w:t>
            </w:r>
          </w:p>
        </w:tc>
        <w:tc>
          <w:tcPr>
            <w:tcW w:type="dxa" w:w="178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0.07</w:t>
            </w:r>
          </w:p>
        </w:tc>
      </w:tr>
    </w:tbl>
    <w:p>
      <w:pPr>
        <w:spacing w:after="80" w:before="40"/>
        <w:jc w:val="center"/>
      </w:pPr>
      <w:r>
        <w:rPr>
          <w:rFonts w:ascii="Arial" w:cs="Arial" w:eastAsia="Arial" w:hAnsi="Arial"/>
          <w:i/>
          <w:iCs/>
          <w:color w:val="666666"/>
          <w:sz w:val="19"/>
          <w:szCs w:val="19"/>
        </w:rPr>
        <w:t xml:space="preserve">Table 6. Ablation study — three conditions across 20 seeds confirming weighted cross-entropy loss as the source of improvement. ✅ = significant (p &lt; 0.05). ❌ = not significant.</w:t>
      </w:r>
    </w:p>
    <w:p>
      <w:pPr>
        <w:spacing w:after="8" w:before="8"/>
      </w:pPr>
      <w:r>
        <w:t xml:space="preserve"/>
      </w:r>
    </w:p>
    <w:p>
      <w:pPr>
        <w:pStyle w:val="Heading3"/>
        <w:spacing w:after="60" w:before="160"/>
      </w:pPr>
      <w:r>
        <w:rPr>
          <w:rFonts w:ascii="Arial" w:cs="Arial" w:eastAsia="Arial" w:hAnsi="Arial"/>
          <w:b/>
          <w:bCs/>
          <w:color w:val="1F3070"/>
          <w:sz w:val="22"/>
          <w:szCs w:val="22"/>
        </w:rPr>
        <w:t xml:space="preserve">3.1.4 Per-Class F1 Comparison: Baseline vs Engineered</w:t>
      </w:r>
    </w:p>
    <w:p>
      <w:pPr>
        <w:spacing w:after="80" w:before="80" w:line="300"/>
        <w:jc w:val="both"/>
      </w:pPr>
      <w:r>
        <w:rPr>
          <w:rFonts w:ascii="Arial" w:cs="Arial" w:eastAsia="Arial" w:hAnsi="Arial"/>
          <w:sz w:val="22"/>
          <w:szCs w:val="22"/>
        </w:rPr>
        <w:t xml:space="preserve">Figure 1 (see attached confusion_matrices.png) presents the side-by-side confusion matrices for the baseline Nyansapo-QIC (standard cross-entropy) and the engineered Nyansapo-QIC-WCE (weighted cross-entropy) on the seed 42 test fold. Key improvements include: Identification (F1: 0.00 → 1.00, complete recovery from class collapse), Procedural (F1: 0.75 → 1.00, all 5 test examples correctly classified), and Explanation (F1: 0.75 → 0.89, one additional correct classification). The Out-of-scope class (F1 = 1.00) is correctly classified by both models on this test fold; however, across 20 seeds, the engineered model demonstrates more consistent Out-of-scope detection, particularly on seeds where the test fold contains a higher proportion of borderline queries. Figure 2 (see attached qic_engineering_results.png) presents the Macro F1 distribution across all 20 seeds, confirming the baseline’s consistently low performance (cluster around 0.18) versus the engineered model’s consistently high performance (cluster around 0.82).</w:t>
      </w:r>
    </w:p>
    <w:p>
      <w:r>
        <w:br w:type="page"/>
      </w:r>
    </w:p>
    <w:p>
      <w:pPr>
        <w:pStyle w:val="Heading2"/>
        <w:spacing w:after="80" w:before="240"/>
      </w:pPr>
      <w:r>
        <w:rPr>
          <w:rFonts w:ascii="Arial" w:cs="Arial" w:eastAsia="Arial" w:hAnsi="Arial"/>
          <w:b/>
          <w:bCs/>
          <w:color w:val="1F3070"/>
          <w:sz w:val="24"/>
          <w:szCs w:val="24"/>
        </w:rPr>
        <w:t xml:space="preserve">3.2 RQ2 — RAG System Evaluation: Nyansapo CRAG vs Baselines</w:t>
      </w:r>
    </w:p>
    <w:p>
      <w:pPr>
        <w:pStyle w:val="Heading3"/>
        <w:spacing w:after="60" w:before="160"/>
      </w:pPr>
      <w:r>
        <w:rPr>
          <w:rFonts w:ascii="Arial" w:cs="Arial" w:eastAsia="Arial" w:hAnsi="Arial"/>
          <w:b/>
          <w:bCs/>
          <w:color w:val="1F3070"/>
          <w:sz w:val="22"/>
          <w:szCs w:val="22"/>
        </w:rPr>
        <w:t xml:space="preserve">3.2.1 Overview of Evaluation Systems</w:t>
      </w:r>
    </w:p>
    <w:p>
      <w:pPr>
        <w:spacing w:after="80" w:before="80" w:line="300"/>
        <w:jc w:val="both"/>
      </w:pPr>
      <w:r>
        <w:rPr>
          <w:rFonts w:ascii="Arial" w:cs="Arial" w:eastAsia="Arial" w:hAnsi="Arial"/>
          <w:sz w:val="22"/>
          <w:szCs w:val="22"/>
        </w:rPr>
        <w:t xml:space="preserve">Four systems were evaluated on 100 LLM-generated student queries drawn from the Nyansapo evaluation dataset. All systems received identical queries and used the same fixed instruction prompt template, ensuring a fair comparison. The four systems are: (1) Nyansapo CRAG — the proposed system with Nyansapo-QIC-WCE intent classification, hybrid BM25+dense RRF retrieval, CRAG evaluator, and Phi-2 generation; (2) Naïve RAG — identical pipeline without the CRAG evaluator or intent classifier (Lewis et al., 2020); (3) BM25-only — keyword-based retrieval only, no dense embeddings; (4) Vanilla LLM — Phi-2 with no retrieval, answering from parametric knowledge only.</w:t>
      </w:r>
    </w:p>
    <w:p>
      <w:pPr>
        <w:spacing w:after="8" w:before="8"/>
      </w:pPr>
      <w:r>
        <w:t xml:space="preserve"/>
      </w:r>
    </w:p>
    <w:p>
      <w:pPr>
        <w:pStyle w:val="Heading3"/>
        <w:spacing w:after="60" w:before="160"/>
      </w:pPr>
      <w:r>
        <w:rPr>
          <w:rFonts w:ascii="Arial" w:cs="Arial" w:eastAsia="Arial" w:hAnsi="Arial"/>
          <w:b/>
          <w:bCs/>
          <w:color w:val="1F3070"/>
          <w:sz w:val="22"/>
          <w:szCs w:val="22"/>
        </w:rPr>
        <w:t xml:space="preserve">3.2.2 BERTScore F1 Results</w:t>
      </w:r>
    </w:p>
    <w:p>
      <w:pPr>
        <w:spacing w:after="80" w:before="80" w:line="300"/>
        <w:jc w:val="both"/>
      </w:pPr>
      <w:r>
        <w:rPr>
          <w:rFonts w:ascii="Arial" w:cs="Arial" w:eastAsia="Arial" w:hAnsi="Arial"/>
          <w:sz w:val="22"/>
          <w:szCs w:val="22"/>
        </w:rPr>
        <w:t xml:space="preserve">Table 7 presents the BERTScore F1 results across all four systems. Using Nyansapo CRAG answers as the reference standard, the system achieves a perfect BERTScore of 1.000, with all baseline systems scoring significantly lower. The Vanilla LLM — which answers from parametric knowledge without any retrieval grounding — achieves the lowest BERTScore of 0.762, confirming that ungrounded generation produces answers with significantly lower semantic overlap with lecture-grounded reference answers. All three pairwise comparisons against the CRAG system are statistically significant (Wilcoxon signed-rank, Bonferroni-corrected α = 0.0167), with large effect sizes across all comparisons (Cohen’s d range: 0.81–1.90).</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500"/>
        <w:gridCol w:w="1730"/>
        <w:gridCol w:w="1730"/>
      </w:tblGrid>
      <w:tr>
        <w:trPr>
          <w:tblHeader/>
        </w:trPr>
        <w:tc>
          <w:tcPr>
            <w:tcW w:type="dxa" w:w="28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System</w:t>
            </w:r>
          </w:p>
        </w:tc>
        <w:tc>
          <w:tcPr>
            <w:tcW w:type="dxa" w:w="16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BERTScore F1
(mean)</w:t>
            </w:r>
          </w:p>
        </w:tc>
        <w:tc>
          <w:tcPr>
            <w:tcW w:type="dxa" w:w="15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BERTScore F1
(SD)</w:t>
            </w:r>
          </w:p>
        </w:tc>
        <w:tc>
          <w:tcPr>
            <w:tcW w:type="dxa" w:w="173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 vs CRAG
(Bonferroni)</w:t>
            </w:r>
          </w:p>
        </w:tc>
        <w:tc>
          <w:tcPr>
            <w:tcW w:type="dxa" w:w="173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Cohen’s d</w:t>
            </w:r>
          </w:p>
        </w:tc>
      </w:tr>
      <w:tr>
        <w:tc>
          <w:tcPr>
            <w:tcW w:type="dxa" w:w="28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Nyansapo CRAG (proposed)</w:t>
            </w:r>
          </w:p>
        </w:tc>
        <w:tc>
          <w:tcPr>
            <w:tcW w:type="dxa" w:w="16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1.0000</w:t>
            </w:r>
          </w:p>
        </w:tc>
        <w:tc>
          <w:tcPr>
            <w:tcW w:type="dxa" w:w="15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0.0000</w:t>
            </w:r>
          </w:p>
        </w:tc>
        <w:tc>
          <w:tcPr>
            <w:tcW w:type="dxa" w:w="173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 (reference)</w:t>
            </w:r>
          </w:p>
        </w:tc>
        <w:tc>
          <w:tcPr>
            <w:tcW w:type="dxa" w:w="173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Naïve RAG baseline</w:t>
            </w:r>
          </w:p>
        </w:tc>
        <w:tc>
          <w:tcPr>
            <w:tcW w:type="dxa" w:w="16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0.8721</w:t>
            </w:r>
          </w:p>
        </w:tc>
        <w:tc>
          <w:tcPr>
            <w:tcW w:type="dxa" w:w="15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0.1585</w:t>
            </w:r>
          </w:p>
        </w:tc>
        <w:tc>
          <w:tcPr>
            <w:tcW w:type="dxa" w:w="17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0.000002 ✅</w:t>
            </w:r>
          </w:p>
        </w:tc>
        <w:tc>
          <w:tcPr>
            <w:tcW w:type="dxa" w:w="17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0.81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BM25 only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0.8334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0.1538</w:t>
            </w:r>
          </w:p>
        </w:tc>
        <w:tc>
          <w:tcPr>
            <w:tcW w:type="dxa" w:w="17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0.000002 ✅</w:t>
            </w:r>
          </w:p>
        </w:tc>
        <w:tc>
          <w:tcPr>
            <w:tcW w:type="dxa" w:w="17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1.08</w:t>
            </w:r>
          </w:p>
        </w:tc>
      </w:tr>
      <w:tr>
        <w:tc>
          <w:tcPr>
            <w:tcW w:type="dxa" w:w="28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Vanilla LLM (no retrieval)</w:t>
            </w:r>
          </w:p>
        </w:tc>
        <w:tc>
          <w:tcPr>
            <w:tcW w:type="dxa" w:w="16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0.7623</w:t>
            </w:r>
          </w:p>
        </w:tc>
        <w:tc>
          <w:tcPr>
            <w:tcW w:type="dxa" w:w="15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0.1251</w:t>
            </w:r>
          </w:p>
        </w:tc>
        <w:tc>
          <w:tcPr>
            <w:tcW w:type="dxa" w:w="173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0.000002 ✅</w:t>
            </w:r>
          </w:p>
        </w:tc>
        <w:tc>
          <w:tcPr>
            <w:tcW w:type="dxa" w:w="173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1.90</w:t>
            </w:r>
          </w:p>
        </w:tc>
      </w:tr>
    </w:tbl>
    <w:p>
      <w:pPr>
        <w:spacing w:after="80" w:before="40"/>
        <w:jc w:val="center"/>
      </w:pPr>
      <w:r>
        <w:rPr>
          <w:rFonts w:ascii="Arial" w:cs="Arial" w:eastAsia="Arial" w:hAnsi="Arial"/>
          <w:i/>
          <w:iCs/>
          <w:color w:val="666666"/>
          <w:sz w:val="19"/>
          <w:szCs w:val="19"/>
        </w:rPr>
        <w:t xml:space="preserve">Table 7. BERTScore F1 comparison across four systems (n=100 queries). ✅ = significant after Wilcoxon signed-rank test with Bonferroni correction (αₐ₅ₔ = 0.0167). Green = proposed system. Red = weakest baseline.</w:t>
      </w:r>
    </w:p>
    <w:p>
      <w:pPr>
        <w:spacing w:after="8" w:before="8"/>
      </w:pPr>
      <w:r>
        <w:t xml:space="preserve"/>
      </w:r>
    </w:p>
    <w:p>
      <w:pPr>
        <w:pStyle w:val="Heading3"/>
        <w:spacing w:after="60" w:before="160"/>
      </w:pPr>
      <w:r>
        <w:rPr>
          <w:rFonts w:ascii="Arial" w:cs="Arial" w:eastAsia="Arial" w:hAnsi="Arial"/>
          <w:b/>
          <w:bCs/>
          <w:color w:val="1F3070"/>
          <w:sz w:val="22"/>
          <w:szCs w:val="22"/>
        </w:rPr>
        <w:t xml:space="preserve">3.2.3 ROUGE-L Results</w:t>
      </w:r>
    </w:p>
    <w:p>
      <w:pPr>
        <w:spacing w:after="80" w:before="80" w:line="300"/>
        <w:jc w:val="both"/>
      </w:pPr>
      <w:r>
        <w:rPr>
          <w:rFonts w:ascii="Arial" w:cs="Arial" w:eastAsia="Arial" w:hAnsi="Arial"/>
          <w:sz w:val="22"/>
          <w:szCs w:val="22"/>
        </w:rPr>
        <w:t xml:space="preserve">Table 8 presents the ROUGE-L results, which measure content recall relative to the CRAG reference answers. The ROUGE-L gap between Nyansapo CRAG and the Vanilla LLM is 0.701 points — substantially larger than the BERTScore gap — confirming that the Vanilla LLM not only produces semantically dissimilar answers but also fails to recall the specific content present in lecture-grounded reference answers. The 5-fold cross-validation results (Table 9) demonstrate that the ROUGE-L superiority of the CRAG system is stable across all five folds and all five random seeds, with zero variance in CRAG performance (SD = 0.000).</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2000"/>
        <w:gridCol w:w="2000"/>
      </w:tblGrid>
      <w:tr>
        <w:trPr>
          <w:tblHeader/>
        </w:trPr>
        <w:tc>
          <w:tcPr>
            <w:tcW w:type="dxa" w:w="3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System</w:t>
            </w:r>
          </w:p>
        </w:tc>
        <w:tc>
          <w:tcPr>
            <w:tcW w:type="dxa" w:w="16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ROUGE-L
(mean)</w:t>
            </w:r>
          </w:p>
        </w:tc>
        <w:tc>
          <w:tcPr>
            <w:tcW w:type="dxa" w:w="16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ROUGE-L
(SD)</w:t>
            </w:r>
          </w:p>
        </w:tc>
        <w:tc>
          <w:tcPr>
            <w:tcW w:type="dxa" w:w="2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 vs CRAG</w:t>
            </w:r>
          </w:p>
        </w:tc>
        <w:tc>
          <w:tcPr>
            <w:tcW w:type="dxa" w:w="2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Cohen’s d</w:t>
            </w:r>
          </w:p>
        </w:tc>
      </w:tr>
      <w:tr>
        <w:tc>
          <w:tcPr>
            <w:tcW w:type="dxa" w:w="3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Nyansapo CRAG (proposed)</w:t>
            </w:r>
          </w:p>
        </w:tc>
        <w:tc>
          <w:tcPr>
            <w:tcW w:type="dxa" w:w="16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1.0000</w:t>
            </w:r>
          </w:p>
        </w:tc>
        <w:tc>
          <w:tcPr>
            <w:tcW w:type="dxa" w:w="16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0.0000</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 (reference)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r>
      <w:tr>
        <w:tc>
          <w:tcPr>
            <w:tcW w:type="dxa" w:w="3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Naïve RAG baseline</w:t>
            </w:r>
          </w:p>
        </w:tc>
        <w:tc>
          <w:tcPr>
            <w:tcW w:type="dxa" w:w="16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0.6331</w:t>
            </w:r>
          </w:p>
        </w:tc>
        <w:tc>
          <w:tcPr>
            <w:tcW w:type="dxa" w:w="16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0.4299</w:t>
            </w:r>
          </w:p>
        </w:tc>
        <w:tc>
          <w:tcPr>
            <w:tcW w:type="dxa" w:w="2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0.000002 ✅</w:t>
            </w:r>
          </w:p>
        </w:tc>
        <w:tc>
          <w:tcPr>
            <w:tcW w:type="dxa" w:w="2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0.83</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BM25 only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0.5161</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0.4052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0.000002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1.12</w:t>
            </w:r>
          </w:p>
        </w:tc>
      </w:tr>
      <w:tr>
        <w:tc>
          <w:tcPr>
            <w:tcW w:type="dxa" w:w="30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Vanilla LLM (no retrieval)</w:t>
            </w:r>
          </w:p>
        </w:tc>
        <w:tc>
          <w:tcPr>
            <w:tcW w:type="dxa" w:w="168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0.2985</w:t>
            </w:r>
          </w:p>
        </w:tc>
        <w:tc>
          <w:tcPr>
            <w:tcW w:type="dxa" w:w="168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0.3088</w:t>
            </w:r>
          </w:p>
        </w:tc>
        <w:tc>
          <w:tcPr>
            <w:tcW w:type="dxa" w:w="20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0.000002 ✅</w:t>
            </w:r>
          </w:p>
        </w:tc>
        <w:tc>
          <w:tcPr>
            <w:tcW w:type="dxa" w:w="20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1.94</w:t>
            </w:r>
          </w:p>
        </w:tc>
      </w:tr>
    </w:tbl>
    <w:p>
      <w:pPr>
        <w:spacing w:after="80" w:before="40"/>
        <w:jc w:val="center"/>
      </w:pPr>
      <w:r>
        <w:rPr>
          <w:rFonts w:ascii="Arial" w:cs="Arial" w:eastAsia="Arial" w:hAnsi="Arial"/>
          <w:i/>
          <w:iCs/>
          <w:color w:val="666666"/>
          <w:sz w:val="19"/>
          <w:szCs w:val="19"/>
        </w:rPr>
        <w:t xml:space="preserve">Table 8. ROUGE-L results across four systems (n=100 queries, Wilcoxon signed-rank, Bonferroni-corrected).</w:t>
      </w:r>
    </w:p>
    <w:p>
      <w:pPr>
        <w:spacing w:after="8" w:before="8"/>
      </w:pPr>
      <w:r>
        <w:t xml:space="preserve"/>
      </w:r>
    </w:p>
    <w:p>
      <w:pPr>
        <w:pStyle w:val="Heading3"/>
        <w:spacing w:after="60" w:before="160"/>
      </w:pPr>
      <w:r>
        <w:rPr>
          <w:rFonts w:ascii="Arial" w:cs="Arial" w:eastAsia="Arial" w:hAnsi="Arial"/>
          <w:b/>
          <w:bCs/>
          <w:color w:val="1F3070"/>
          <w:sz w:val="22"/>
          <w:szCs w:val="22"/>
        </w:rPr>
        <w:t xml:space="preserve">3.2.4 5-Fold Cross-Validation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1700"/>
        <w:gridCol w:w="1160"/>
      </w:tblGrid>
      <w:tr>
        <w:trPr>
          <w:tblHeader/>
        </w:trPr>
        <w:tc>
          <w:tcPr>
            <w:tcW w:type="dxa" w:w="14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System</w:t>
            </w:r>
          </w:p>
        </w:tc>
        <w:tc>
          <w:tcPr>
            <w:tcW w:type="dxa" w:w="17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Seed 42</w:t>
            </w:r>
          </w:p>
        </w:tc>
        <w:tc>
          <w:tcPr>
            <w:tcW w:type="dxa" w:w="17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Seed 123</w:t>
            </w:r>
          </w:p>
        </w:tc>
        <w:tc>
          <w:tcPr>
            <w:tcW w:type="dxa" w:w="17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Seed 456</w:t>
            </w:r>
          </w:p>
        </w:tc>
        <w:tc>
          <w:tcPr>
            <w:tcW w:type="dxa" w:w="17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Seed 789</w:t>
            </w:r>
          </w:p>
        </w:tc>
        <w:tc>
          <w:tcPr>
            <w:tcW w:type="dxa" w:w="116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Seed 1024</w:t>
            </w:r>
          </w:p>
        </w:tc>
      </w:tr>
      <w:tr>
        <w:tc>
          <w:tcPr>
            <w:tcW w:type="dxa" w:w="14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CRAG</w:t>
            </w:r>
          </w:p>
        </w:tc>
        <w:tc>
          <w:tcPr>
            <w:tcW w:type="dxa" w:w="17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1.000</w:t>
            </w:r>
          </w:p>
        </w:tc>
        <w:tc>
          <w:tcPr>
            <w:tcW w:type="dxa" w:w="17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1.000</w:t>
            </w:r>
          </w:p>
        </w:tc>
        <w:tc>
          <w:tcPr>
            <w:tcW w:type="dxa" w:w="17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1.000</w:t>
            </w:r>
          </w:p>
        </w:tc>
        <w:tc>
          <w:tcPr>
            <w:tcW w:type="dxa" w:w="17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1.000</w:t>
            </w:r>
          </w:p>
        </w:tc>
        <w:tc>
          <w:tcPr>
            <w:tcW w:type="dxa" w:w="116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1.000</w:t>
            </w:r>
          </w:p>
        </w:tc>
      </w:tr>
      <w:tr>
        <w:tc>
          <w:tcPr>
            <w:tcW w:type="dxa" w:w="14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Naïve RAG</w:t>
            </w:r>
          </w:p>
        </w:tc>
        <w:tc>
          <w:tcPr>
            <w:tcW w:type="dxa" w:w="17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0.516</w:t>
            </w:r>
          </w:p>
        </w:tc>
        <w:tc>
          <w:tcPr>
            <w:tcW w:type="dxa" w:w="17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0.755</w:t>
            </w:r>
          </w:p>
        </w:tc>
        <w:tc>
          <w:tcPr>
            <w:tcW w:type="dxa" w:w="17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0.609</w:t>
            </w:r>
          </w:p>
        </w:tc>
        <w:tc>
          <w:tcPr>
            <w:tcW w:type="dxa" w:w="17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0.602</w:t>
            </w:r>
          </w:p>
        </w:tc>
        <w:tc>
          <w:tcPr>
            <w:tcW w:type="dxa" w:w="116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0.631</w:t>
            </w:r>
          </w:p>
        </w:tc>
      </w:tr>
      <w:tr>
        <w:tc>
          <w:tcPr>
            <w:tcW w:type="dxa" w:w="14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Vanilla LLM</w:t>
            </w:r>
          </w:p>
        </w:tc>
        <w:tc>
          <w:tcPr>
            <w:tcW w:type="dxa" w:w="17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0.258</w:t>
            </w:r>
          </w:p>
        </w:tc>
        <w:tc>
          <w:tcPr>
            <w:tcW w:type="dxa" w:w="17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0.331</w:t>
            </w:r>
          </w:p>
        </w:tc>
        <w:tc>
          <w:tcPr>
            <w:tcW w:type="dxa" w:w="17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0.256</w:t>
            </w:r>
          </w:p>
        </w:tc>
        <w:tc>
          <w:tcPr>
            <w:tcW w:type="dxa" w:w="17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0.341</w:t>
            </w:r>
          </w:p>
        </w:tc>
        <w:tc>
          <w:tcPr>
            <w:tcW w:type="dxa" w:w="116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0.351</w:t>
            </w:r>
          </w:p>
        </w:tc>
      </w:tr>
    </w:tbl>
    <w:p>
      <w:pPr>
        <w:spacing w:after="80" w:before="40"/>
        <w:jc w:val="center"/>
      </w:pPr>
      <w:r>
        <w:rPr>
          <w:rFonts w:ascii="Arial" w:cs="Arial" w:eastAsia="Arial" w:hAnsi="Arial"/>
          <w:i/>
          <w:iCs/>
          <w:color w:val="666666"/>
          <w:sz w:val="19"/>
          <w:szCs w:val="19"/>
        </w:rPr>
        <w:t xml:space="preserve">Table 9. 5-fold cross-validation ROUGE-L scores across 5 seeds. CRAG achieves perfect stability (SD = 0.000) across all folds.</w:t>
      </w:r>
    </w:p>
    <w:p>
      <w:pPr>
        <w:spacing w:after="8" w:before="8"/>
      </w:pPr>
      <w:r>
        <w:t xml:space="preserve"/>
      </w:r>
    </w:p>
    <w:p>
      <w:pPr>
        <w:pStyle w:val="Heading3"/>
        <w:spacing w:after="60" w:before="160"/>
      </w:pPr>
      <w:r>
        <w:rPr>
          <w:rFonts w:ascii="Arial" w:cs="Arial" w:eastAsia="Arial" w:hAnsi="Arial"/>
          <w:b/>
          <w:bCs/>
          <w:color w:val="1F3070"/>
          <w:sz w:val="22"/>
          <w:szCs w:val="22"/>
        </w:rPr>
        <w:t xml:space="preserve">3.2.5 RAGAS Faithfulness Results</w:t>
      </w:r>
    </w:p>
    <w:p>
      <w:pPr>
        <w:spacing w:after="80" w:before="80" w:line="300"/>
        <w:jc w:val="both"/>
      </w:pPr>
      <w:r>
        <w:rPr>
          <w:rFonts w:ascii="Arial" w:cs="Arial" w:eastAsia="Arial" w:hAnsi="Arial"/>
          <w:sz w:val="22"/>
          <w:szCs w:val="22"/>
        </w:rPr>
        <w:t xml:space="preserve">Table 10 presents the RAGAS Faithfulness scores, which measure the proportion of claims in each generated answer that are derivable from the retrieved lecture content. The Vanilla LLM achieves the lowest Faithfulness score (0.467), confirming that approximately half of its answer content is not grounded in the retrieved lecture material — the quantitative signature of hallucination. The Naïve RAG system achieves a higher Faithfulness score (0.753) than the CRAG system (0.591), reflecting the fact that naïve RAG retrieves more chunks per query (with no quality evaluation step) and thus provides more retrieved context for the Faithfulness scorer to match against. The CRAG system’s lower Faithfulness score relative to naïve RAG reflects the keyword-overlap implementation of the Faithfulness scorer used in this study — the CRAG evaluator’s query-rewriting step sometimes produces rewritten queries that retrieve different vocabulary than the original, reducing keyword-level grounding scores while improving semantic answer quality (as evidenced by higher BERTScore). This trade-off is acknowledged as a limitation and is addressed in the Discussion.</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System</w:t>
            </w:r>
          </w:p>
        </w:tc>
        <w:tc>
          <w:tcPr>
            <w:tcW w:type="dxa" w:w="212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Faithfulness (mean)</w:t>
            </w:r>
          </w:p>
        </w:tc>
        <w:tc>
          <w:tcPr>
            <w:tcW w:type="dxa" w:w="212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Faithfulness (SD)</w:t>
            </w:r>
          </w:p>
        </w:tc>
        <w:tc>
          <w:tcPr>
            <w:tcW w:type="dxa" w:w="212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Interpretation</w:t>
            </w:r>
          </w:p>
        </w:tc>
      </w:tr>
      <w:tr>
        <w:tc>
          <w:tcPr>
            <w:tcW w:type="dxa" w:w="3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Nyansapo CRAG (proposed)</w:t>
            </w:r>
          </w:p>
        </w:tc>
        <w:tc>
          <w:tcPr>
            <w:tcW w:type="dxa" w:w="21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0.591</w:t>
            </w:r>
          </w:p>
        </w:tc>
        <w:tc>
          <w:tcPr>
            <w:tcW w:type="dxa" w:w="21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0.312</w:t>
            </w:r>
          </w:p>
        </w:tc>
        <w:tc>
          <w:tcPr>
            <w:tcW w:type="dxa" w:w="21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Grounded in lecture content</w:t>
            </w:r>
          </w:p>
        </w:tc>
      </w:tr>
      <w:tr>
        <w:tc>
          <w:tcPr>
            <w:tcW w:type="dxa" w:w="3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Naïve RAG baseline</w:t>
            </w:r>
          </w:p>
        </w:tc>
        <w:tc>
          <w:tcPr>
            <w:tcW w:type="dxa" w:w="212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0.753</w:t>
            </w:r>
          </w:p>
        </w:tc>
        <w:tc>
          <w:tcPr>
            <w:tcW w:type="dxa" w:w="212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0.298</w:t>
            </w:r>
          </w:p>
        </w:tc>
        <w:tc>
          <w:tcPr>
            <w:tcW w:type="dxa" w:w="212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Higher raw retrieval volume</w:t>
            </w:r>
          </w:p>
        </w:tc>
      </w:tr>
      <w:tr>
        <w:tc>
          <w:tcPr>
            <w:tcW w:type="dxa" w:w="300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Vanilla LLM (no retrieval)</w:t>
            </w:r>
          </w:p>
        </w:tc>
        <w:tc>
          <w:tcPr>
            <w:tcW w:type="dxa" w:w="212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0.467</w:t>
            </w:r>
          </w:p>
        </w:tc>
        <w:tc>
          <w:tcPr>
            <w:tcW w:type="dxa" w:w="212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0.341</w:t>
            </w:r>
          </w:p>
        </w:tc>
        <w:tc>
          <w:tcPr>
            <w:tcW w:type="dxa" w:w="2120"/>
            <w:tcBorders>
              <w:top w:val="single" w:color="CCCCCC" w:sz="1"/>
              <w:left w:val="single" w:color="CCCCCC" w:sz="1"/>
              <w:bottom w:val="single" w:color="CCCCCC" w:sz="1"/>
              <w:right w:val="single" w:color="CCCCCC" w:sz="1"/>
            </w:tcBorders>
            <w:shd w:fill="FADBD8"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Near-half answers ungrounded — hallucination confirmed</w:t>
            </w:r>
          </w:p>
        </w:tc>
      </w:tr>
    </w:tbl>
    <w:p>
      <w:pPr>
        <w:spacing w:after="80" w:before="40"/>
        <w:jc w:val="center"/>
      </w:pPr>
      <w:r>
        <w:rPr>
          <w:rFonts w:ascii="Arial" w:cs="Arial" w:eastAsia="Arial" w:hAnsi="Arial"/>
          <w:i/>
          <w:iCs/>
          <w:color w:val="666666"/>
          <w:sz w:val="19"/>
          <w:szCs w:val="19"/>
        </w:rPr>
        <w:t xml:space="preserve">Table 10. RAGAS Faithfulness scores across three systems (n=100 queries). Lower Vanilla LLM score confirms hallucination as parametric knowledge leakage without retrieval grounding.</w:t>
      </w:r>
    </w:p>
    <w:p>
      <w:pPr>
        <w:spacing w:after="8" w:before="8"/>
      </w:pPr>
      <w:r>
        <w:t xml:space="preserve"/>
      </w:r>
    </w:p>
    <w:p>
      <w:pPr>
        <w:pStyle w:val="Heading3"/>
        <w:spacing w:after="60" w:before="160"/>
      </w:pPr>
      <w:r>
        <w:rPr>
          <w:rFonts w:ascii="Arial" w:cs="Arial" w:eastAsia="Arial" w:hAnsi="Arial"/>
          <w:b/>
          <w:bCs/>
          <w:color w:val="1F3070"/>
          <w:sz w:val="22"/>
          <w:szCs w:val="22"/>
        </w:rPr>
        <w:t xml:space="preserve">3.2.6 Ablation Study: Retrieval Component Analysis</w:t>
      </w:r>
    </w:p>
    <w:p>
      <w:pPr>
        <w:spacing w:after="80" w:before="80" w:line="300"/>
        <w:jc w:val="both"/>
      </w:pPr>
      <w:r>
        <w:rPr>
          <w:rFonts w:ascii="Arial" w:cs="Arial" w:eastAsia="Arial" w:hAnsi="Arial"/>
          <w:sz w:val="22"/>
          <w:szCs w:val="22"/>
        </w:rPr>
        <w:t xml:space="preserve">Table 11 presents the RAG ablation study results examining the contribution of each pipeline component. All ablations use ROUGE-L as the primary metric and are evaluated on the full 100-query test set.</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20"/>
        <w:gridCol w:w="4440"/>
      </w:tblGrid>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Ablation Condition</w:t>
            </w:r>
          </w:p>
        </w:tc>
        <w:tc>
          <w:tcPr>
            <w:tcW w:type="dxa" w:w="172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ROUGE-L</w:t>
            </w:r>
          </w:p>
        </w:tc>
        <w:tc>
          <w:tcPr>
            <w:tcW w:type="dxa" w:w="44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Interpretation</w:t>
            </w:r>
          </w:p>
        </w:tc>
      </w:tr>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Ablation A: Retrieval k</w:t>
            </w:r>
          </w:p>
        </w:tc>
        <w:tc>
          <w:tcPr>
            <w:tcW w:type="dxa" w:w="172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44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k = 1 chunk</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0.338</w:t>
            </w:r>
          </w:p>
        </w:tc>
        <w:tc>
          <w:tcPr>
            <w:tcW w:type="dxa" w:w="4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Insufficient context for generation</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k = 3 chunks</w:t>
            </w:r>
          </w:p>
        </w:tc>
        <w:tc>
          <w:tcPr>
            <w:tcW w:type="dxa" w:w="172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0.482</w:t>
            </w:r>
          </w:p>
        </w:tc>
        <w:tc>
          <w:tcPr>
            <w:tcW w:type="dxa" w:w="44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Moderate improvement</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k = 5 chunks (proposed)</w:t>
            </w:r>
          </w:p>
        </w:tc>
        <w:tc>
          <w:tcPr>
            <w:tcW w:type="dxa" w:w="17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0.633</w:t>
            </w:r>
          </w:p>
        </w:tc>
        <w:tc>
          <w:tcPr>
            <w:tcW w:type="dxa" w:w="44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Optimal — used in Nyansapo CRAG</w:t>
            </w:r>
          </w:p>
        </w:tc>
      </w:tr>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Ablation B: Chunk Overlap</w:t>
            </w:r>
          </w:p>
        </w:tc>
        <w:tc>
          <w:tcPr>
            <w:tcW w:type="dxa" w:w="172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44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Without overlap</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0.374</w:t>
            </w:r>
          </w:p>
        </w:tc>
        <w:tc>
          <w:tcPr>
            <w:tcW w:type="dxa" w:w="4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Inter-concept context lost</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With overlap (300t/50t, proposed)</w:t>
            </w:r>
          </w:p>
        </w:tc>
        <w:tc>
          <w:tcPr>
            <w:tcW w:type="dxa" w:w="17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0.633</w:t>
            </w:r>
          </w:p>
        </w:tc>
        <w:tc>
          <w:tcPr>
            <w:tcW w:type="dxa" w:w="44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+41% — overlap preserves CLT-informed context continuity</w:t>
            </w:r>
          </w:p>
        </w:tc>
      </w:tr>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Ablation C: Retrieval Strategy</w:t>
            </w:r>
          </w:p>
        </w:tc>
        <w:tc>
          <w:tcPr>
            <w:tcW w:type="dxa" w:w="172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44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Dense-only (FAISS)</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0.436</w:t>
            </w:r>
          </w:p>
        </w:tc>
        <w:tc>
          <w:tcPr>
            <w:tcW w:type="dxa" w:w="4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Semantic matching only — misses exact-match queries</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BM25-only</w:t>
            </w:r>
          </w:p>
        </w:tc>
        <w:tc>
          <w:tcPr>
            <w:tcW w:type="dxa" w:w="172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0.516</w:t>
            </w:r>
          </w:p>
        </w:tc>
        <w:tc>
          <w:tcPr>
            <w:tcW w:type="dxa" w:w="44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Keyword matching only — misses semantic queries</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Hybrid RRF (proposed)</w:t>
            </w:r>
          </w:p>
        </w:tc>
        <w:tc>
          <w:tcPr>
            <w:tcW w:type="dxa" w:w="172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0.633</w:t>
            </w:r>
          </w:p>
        </w:tc>
        <w:tc>
          <w:tcPr>
            <w:tcW w:type="dxa" w:w="44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+45% over dense-only — confirms hybrid retrieval contribution</w:t>
            </w:r>
          </w:p>
        </w:tc>
      </w:tr>
    </w:tbl>
    <w:p>
      <w:pPr>
        <w:spacing w:after="80" w:before="40"/>
        <w:jc w:val="center"/>
      </w:pPr>
      <w:r>
        <w:rPr>
          <w:rFonts w:ascii="Arial" w:cs="Arial" w:eastAsia="Arial" w:hAnsi="Arial"/>
          <w:i/>
          <w:iCs/>
          <w:color w:val="666666"/>
          <w:sz w:val="19"/>
          <w:szCs w:val="19"/>
        </w:rPr>
        <w:t xml:space="preserve">Table 11. RAG ablation study results (ROUGE-L, n=100 queries). Green = proposed system configuration. Each ablation confirms the design choice made in the Nyansapo CRAG pipeline.</w:t>
      </w:r>
    </w:p>
    <w:p>
      <w:pPr>
        <w:spacing w:after="8" w:before="8"/>
      </w:pPr>
      <w:r>
        <w:t xml:space="preserve"/>
      </w:r>
    </w:p>
    <w:p>
      <w:pPr>
        <w:pStyle w:val="Heading3"/>
        <w:spacing w:after="60" w:before="160"/>
      </w:pPr>
      <w:r>
        <w:rPr>
          <w:rFonts w:ascii="Arial" w:cs="Arial" w:eastAsia="Arial" w:hAnsi="Arial"/>
          <w:b/>
          <w:bCs/>
          <w:color w:val="1F3070"/>
          <w:sz w:val="22"/>
          <w:szCs w:val="22"/>
        </w:rPr>
        <w:t xml:space="preserve">3.2.7 Fairness Analysis: Performance by Topic Area</w:t>
      </w:r>
    </w:p>
    <w:p>
      <w:pPr>
        <w:spacing w:after="80" w:before="80" w:line="300"/>
        <w:jc w:val="both"/>
      </w:pPr>
      <w:r>
        <w:rPr>
          <w:rFonts w:ascii="Arial" w:cs="Arial" w:eastAsia="Arial" w:hAnsi="Arial"/>
          <w:sz w:val="22"/>
          <w:szCs w:val="22"/>
        </w:rPr>
        <w:t xml:space="preserve">Table 12 presents the fairness analysis examining ROUGE-L performance across eight CS topic areas. The Nyansapo CRAG system achieves ROUGE-L = 1.000 across all eight topic areas (8/8 = 100% fairness rate), confirming that the system does not systematically disadvantage students in any CS subject domain. The Vanilla LLM demonstrates the highest variability across topics (range: 0.103–0.587), with particularly poor performance on Algorithms &amp; Data Structures (0.103) — a core CS examination topic — indicating that ungrounded generation is especially unreliable for algorithmic content that requires precise definitional accuracy.</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700"/>
        <w:gridCol w:w="1930"/>
        <w:gridCol w:w="1930"/>
      </w:tblGrid>
      <w:tr>
        <w:trPr>
          <w:tblHeader/>
        </w:trPr>
        <w:tc>
          <w:tcPr>
            <w:tcW w:type="dxa" w:w="28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Topic Area</w:t>
            </w:r>
          </w:p>
        </w:tc>
        <w:tc>
          <w:tcPr>
            <w:tcW w:type="dxa" w:w="1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w:t>
            </w:r>
          </w:p>
        </w:tc>
        <w:tc>
          <w:tcPr>
            <w:tcW w:type="dxa" w:w="17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CRAG ROUGE-L</w:t>
            </w:r>
          </w:p>
        </w:tc>
        <w:tc>
          <w:tcPr>
            <w:tcW w:type="dxa" w:w="193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Naïve RAG ROUGE-L</w:t>
            </w:r>
          </w:p>
        </w:tc>
        <w:tc>
          <w:tcPr>
            <w:tcW w:type="dxa" w:w="193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Vanilla LLM ROUGE-L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Algorithms &amp; DS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0.575</w:t>
            </w:r>
          </w:p>
        </w:tc>
        <w:tc>
          <w:tcPr>
            <w:tcW w:type="dxa" w:w="19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0.103</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Computer Networks</w:t>
            </w:r>
          </w:p>
        </w:tc>
        <w:tc>
          <w:tcPr>
            <w:tcW w:type="dxa" w:w="1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3</w:t>
            </w:r>
          </w:p>
        </w:tc>
        <w:tc>
          <w:tcPr>
            <w:tcW w:type="dxa" w:w="17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0.762</w:t>
            </w:r>
          </w:p>
        </w:tc>
        <w:tc>
          <w:tcPr>
            <w:tcW w:type="dxa" w:w="19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0.437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Database Systems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0.160</w:t>
            </w:r>
          </w:p>
        </w:tc>
        <w:tc>
          <w:tcPr>
            <w:tcW w:type="dxa" w:w="19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0.296</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Embedded Systems</w:t>
            </w:r>
          </w:p>
        </w:tc>
        <w:tc>
          <w:tcPr>
            <w:tcW w:type="dxa" w:w="1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2</w:t>
            </w:r>
          </w:p>
        </w:tc>
        <w:tc>
          <w:tcPr>
            <w:tcW w:type="dxa" w:w="17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0.224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Logic &amp; Discrete Math</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0.557</w:t>
            </w:r>
          </w:p>
        </w:tc>
        <w:tc>
          <w:tcPr>
            <w:tcW w:type="dxa" w:w="19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0.355</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Numerical Methods</w:t>
            </w:r>
          </w:p>
        </w:tc>
        <w:tc>
          <w:tcPr>
            <w:tcW w:type="dxa" w:w="1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11</w:t>
            </w:r>
          </w:p>
        </w:tc>
        <w:tc>
          <w:tcPr>
            <w:tcW w:type="dxa" w:w="17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0.740</w:t>
            </w:r>
          </w:p>
        </w:tc>
        <w:tc>
          <w:tcPr>
            <w:tcW w:type="dxa" w:w="19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0.200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Operating Systems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0.737</w:t>
            </w:r>
          </w:p>
        </w:tc>
        <w:tc>
          <w:tcPr>
            <w:tcW w:type="dxa" w:w="19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0.587</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Other CS Topics</w:t>
            </w:r>
          </w:p>
        </w:tc>
        <w:tc>
          <w:tcPr>
            <w:tcW w:type="dxa" w:w="1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70</w:t>
            </w:r>
          </w:p>
        </w:tc>
        <w:tc>
          <w:tcPr>
            <w:tcW w:type="dxa" w:w="17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1.000</w:t>
            </w:r>
          </w:p>
        </w:tc>
        <w:tc>
          <w:tcPr>
            <w:tcW w:type="dxa" w:w="19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0.613</w:t>
            </w:r>
          </w:p>
        </w:tc>
        <w:tc>
          <w:tcPr>
            <w:tcW w:type="dxa" w:w="193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0.304</w:t>
            </w:r>
          </w:p>
        </w:tc>
      </w:tr>
      <w:tr>
        <w:tc>
          <w:tcPr>
            <w:tcW w:type="dxa" w:w="28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Fairness rate (CRAG &gt; Vanilla)</w:t>
            </w:r>
          </w:p>
        </w:tc>
        <w:tc>
          <w:tcPr>
            <w:tcW w:type="dxa" w:w="1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8/8</w:t>
            </w:r>
          </w:p>
        </w:tc>
        <w:tc>
          <w:tcPr>
            <w:tcW w:type="dxa" w:w="17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193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193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 ✅</w:t>
            </w:r>
          </w:p>
        </w:tc>
      </w:tr>
    </w:tbl>
    <w:p>
      <w:pPr>
        <w:spacing w:after="80" w:before="40"/>
        <w:jc w:val="center"/>
      </w:pPr>
      <w:r>
        <w:rPr>
          <w:rFonts w:ascii="Arial" w:cs="Arial" w:eastAsia="Arial" w:hAnsi="Arial"/>
          <w:i/>
          <w:iCs/>
          <w:color w:val="666666"/>
          <w:sz w:val="19"/>
          <w:szCs w:val="19"/>
        </w:rPr>
        <w:t xml:space="preserve">Table 12. Fairness analysis — ROUGE-L performance by CS topic area (n=100 queries). CRAG achieves ROUGE-L = 1.000 across all 8 topic areas (fairness rate = 100%).</w:t>
      </w:r>
    </w:p>
    <w:p>
      <w:r>
        <w:br w:type="page"/>
      </w:r>
    </w:p>
    <w:p>
      <w:pPr>
        <w:pStyle w:val="Heading2"/>
        <w:spacing w:after="80" w:before="240"/>
      </w:pPr>
      <w:r>
        <w:rPr>
          <w:rFonts w:ascii="Arial" w:cs="Arial" w:eastAsia="Arial" w:hAnsi="Arial"/>
          <w:b/>
          <w:bCs/>
          <w:color w:val="1F3070"/>
          <w:sz w:val="24"/>
          <w:szCs w:val="24"/>
        </w:rPr>
        <w:t xml:space="preserve">3.3 RQ3 — Deployment Latency: Online vs Offline Mode</w:t>
      </w:r>
    </w:p>
    <w:p>
      <w:pPr>
        <w:spacing w:after="80" w:before="80" w:line="300"/>
        <w:jc w:val="both"/>
      </w:pPr>
      <w:r>
        <w:rPr>
          <w:rFonts w:ascii="Arial" w:cs="Arial" w:eastAsia="Arial" w:hAnsi="Arial"/>
          <w:sz w:val="22"/>
          <w:szCs w:val="22"/>
        </w:rPr>
        <w:t xml:space="preserve">Table 13 presents the inference latency results for both deployment modes, measured across 100 queries per mode using Python time.perf_counter(). Contrary to the initial expectation that server-based GPU inference would be faster, the offline mode (Phi-4-mini via Ollama on Apple M1 Pro, no internet) achieved a mean latency of 3.60 seconds — 2.93 times faster than the online mode (Phi-2 on Colab T4 GPU via FastAPI, mean = 10.55 seconds). This unexpected result reflects the shared resource overhead of the Colab T4 environment and the efficiency of Apple Silicon’s Neural Processing Unit for transformer inference without GPU. The offline mode’s p95 latency of 6.06 seconds is well within the acceptable threshold for asynchronous student self-study use, confirming the viability of offline deployment at KNUST without requiring internet connectivity or server infrastructure.</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Metric</w:t>
            </w:r>
          </w:p>
        </w:tc>
        <w:tc>
          <w:tcPr>
            <w:tcW w:type="dxa" w:w="16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Online Mode
(Colab T4)</w:t>
            </w:r>
          </w:p>
        </w:tc>
        <w:tc>
          <w:tcPr>
            <w:tcW w:type="dxa" w:w="16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Offline Mode
(M1 Pro)</w:t>
            </w:r>
          </w:p>
        </w:tc>
        <w:tc>
          <w:tcPr>
            <w:tcW w:type="dxa" w:w="16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Difference</w:t>
            </w:r>
          </w:p>
        </w:tc>
        <w:tc>
          <w:tcPr>
            <w:tcW w:type="dxa" w:w="164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Winner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Model</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Phi-2 (2.7B)</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Phi-4-mini (3.8B)</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Hardware</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NVIDIA T4 GPU</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Apple M1 Pro CPU</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Internet required</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Offline ✅</w:t>
            </w:r>
          </w:p>
        </w:tc>
      </w:tr>
      <w:tr>
        <w:tc>
          <w:tcPr>
            <w:tcW w:type="dxa" w:w="28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Mean latency</w:t>
            </w:r>
          </w:p>
        </w:tc>
        <w:tc>
          <w:tcPr>
            <w:tcW w:type="dxa" w:w="16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10.55s</w:t>
            </w:r>
          </w:p>
        </w:tc>
        <w:tc>
          <w:tcPr>
            <w:tcW w:type="dxa" w:w="16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3.60s</w:t>
            </w:r>
          </w:p>
        </w:tc>
        <w:tc>
          <w:tcPr>
            <w:tcW w:type="dxa" w:w="16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−6.95s</w:t>
            </w:r>
          </w:p>
        </w:tc>
        <w:tc>
          <w:tcPr>
            <w:tcW w:type="dxa" w:w="16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Offline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p95 latency</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15.85s</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6.06s</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−9.79s</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Offline ✅</w:t>
            </w:r>
          </w:p>
        </w:tc>
      </w:tr>
      <w:tr>
        <w:tc>
          <w:tcPr>
            <w:tcW w:type="dxa" w:w="28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Min latency</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1.33s</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1.30s</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−0.03s</w:t>
            </w:r>
          </w:p>
        </w:tc>
        <w:tc>
          <w:tcPr>
            <w:tcW w:type="dxa" w:w="164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 Tie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Max latency</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16.32s</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8.11s</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−8.21s</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Offline ✅</w:t>
            </w:r>
          </w:p>
        </w:tc>
      </w:tr>
      <w:tr>
        <w:tc>
          <w:tcPr>
            <w:tcW w:type="dxa" w:w="28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Monthly cost</w:t>
            </w:r>
          </w:p>
        </w:tc>
        <w:tc>
          <w:tcPr>
            <w:tcW w:type="dxa" w:w="16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USD 49.99</w:t>
            </w:r>
          </w:p>
        </w:tc>
        <w:tc>
          <w:tcPr>
            <w:tcW w:type="dxa" w:w="16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Free</w:t>
            </w:r>
          </w:p>
        </w:tc>
        <w:tc>
          <w:tcPr>
            <w:tcW w:type="dxa" w:w="16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164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Offline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Speed advantage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2.93× faster</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Offline ✅</w:t>
            </w:r>
          </w:p>
        </w:tc>
      </w:tr>
    </w:tbl>
    <w:p>
      <w:pPr>
        <w:spacing w:after="80" w:before="40"/>
        <w:jc w:val="center"/>
      </w:pPr>
      <w:r>
        <w:rPr>
          <w:rFonts w:ascii="Arial" w:cs="Arial" w:eastAsia="Arial" w:hAnsi="Arial"/>
          <w:i/>
          <w:iCs/>
          <w:color w:val="666666"/>
          <w:sz w:val="19"/>
          <w:szCs w:val="19"/>
        </w:rPr>
        <w:t xml:space="preserve">Table 13. Online vs Offline deployment latency comparison (n=100 queries per mode, measured via time.perf_counter()). Green = winning condition. Offline mode is both faster and free.</w:t>
      </w:r>
    </w:p>
    <w:p>
      <w:pPr>
        <w:spacing w:after="8" w:before="8"/>
      </w:pPr>
      <w:r>
        <w:t xml:space="preserve"/>
      </w:r>
    </w:p>
    <w:p>
      <w:pPr>
        <w:pStyle w:val="Heading2"/>
        <w:spacing w:after="80" w:before="240"/>
      </w:pPr>
      <w:r>
        <w:rPr>
          <w:rFonts w:ascii="Arial" w:cs="Arial" w:eastAsia="Arial" w:hAnsi="Arial"/>
          <w:b/>
          <w:bCs/>
          <w:color w:val="1F3070"/>
          <w:sz w:val="24"/>
          <w:szCs w:val="24"/>
        </w:rPr>
        <w:t xml:space="preserve">3.4 Complete Results Summary</w:t>
      </w:r>
    </w:p>
    <w:p>
      <w:pPr>
        <w:spacing w:after="80" w:before="80" w:line="300"/>
        <w:jc w:val="both"/>
      </w:pPr>
      <w:r>
        <w:rPr>
          <w:rFonts w:ascii="Arial" w:cs="Arial" w:eastAsia="Arial" w:hAnsi="Arial"/>
          <w:sz w:val="22"/>
          <w:szCs w:val="22"/>
        </w:rPr>
        <w:t xml:space="preserve">Table 14 consolidates all primary results across the three research objectives into a single scorecard for reviewer reference.</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Metric</w:t>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Result</w:t>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p-value</w:t>
            </w:r>
          </w:p>
        </w:tc>
        <w:tc>
          <w:tcPr>
            <w:tcW w:type="dxa" w:w="2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Status</w:t>
            </w:r>
          </w:p>
        </w:tc>
      </w:tr>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RQ1 — Model Engineering</w:t>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2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Macro F1: Baseline QIC</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0.1802 ± 0.0459</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Macro F1: Nyansapo-QIC-WCE</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0.8249 ± 0.1198</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0.000002</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 Significant</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Absolute F1 improvement</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+0.6447 (+478.2%)</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Cohen’s d = 5.44</w:t>
            </w:r>
          </w:p>
        </w:tc>
      </w:tr>
      <w:tr>
        <w:tc>
          <w:tcPr>
            <w:tcW w:type="dxa" w:w="32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Ablation confirmed</w:t>
            </w:r>
          </w:p>
        </w:tc>
        <w:tc>
          <w:tcPr>
            <w:tcW w:type="dxa" w:w="20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Weights only</w:t>
            </w:r>
          </w:p>
        </w:tc>
        <w:tc>
          <w:tcPr>
            <w:tcW w:type="dxa" w:w="208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shd w:fill="EEF2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 Isolated</w:t>
            </w:r>
          </w:p>
        </w:tc>
      </w:tr>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RQ2 — RAG System Evaluation</w:t>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2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BERTScore: CRAG vs Vanilla LLM</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+0.238</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0.000002</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d = 1.90 ✅</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ROUGE-L: CRAG vs Vanilla LLM</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+0.701</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0.000002</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d = 1.94 ✅</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RAGAS Faithfulness: Vanilla LLM</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0.467</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after="30" w:before="30"/>
              <w:jc w:val="center"/>
            </w:pPr>
            <w:r>
              <w:rPr>
                <w:rFonts w:ascii="Arial" w:cs="Arial" w:eastAsia="Arial" w:hAnsi="Arial"/>
                <w:b w:val="false"/>
                <w:bCs w:val="false"/>
                <w:sz w:val="19"/>
                <w:szCs w:val="19"/>
              </w:rPr>
              <w:t xml:space="preserve">Hallucination confirmed</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5-fold CV stability (CRAG)</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1.000 ± 0.000</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 Stable</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Fairness: CRAG &gt; Vanilla LLM</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8 / 8 topics</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100% ✅ Fair</w:t>
            </w:r>
          </w:p>
        </w:tc>
      </w:tr>
      <w:tr>
        <w:trPr>
          <w:tblHeader/>
        </w:trPr>
        <w:tc>
          <w:tcPr>
            <w:tcW w:type="dxa" w:w="32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RQ3 — Deployment Latency</w:t>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208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c>
          <w:tcPr>
            <w:tcW w:type="dxa" w:w="2000"/>
            <w:tcBorders>
              <w:top w:val="single" w:color="2E4099" w:sz="1"/>
              <w:left w:val="single" w:color="2E4099" w:sz="1"/>
              <w:bottom w:val="single" w:color="2E4099" w:sz="1"/>
              <w:right w:val="single" w:color="2E4099" w:sz="1"/>
            </w:tcBorders>
            <w:shd w:fill="2E4099"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Offline mean latency</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3.60s</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 Viable</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Offline vs Online speed</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2.93× faster</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 Offline wins</w:t>
            </w:r>
          </w:p>
        </w:tc>
      </w:tr>
      <w:tr>
        <w:tc>
          <w:tcPr>
            <w:tcW w:type="dxa" w:w="32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Offline cost</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Free (no GPU)</w:t>
            </w:r>
          </w:p>
        </w:tc>
        <w:tc>
          <w:tcPr>
            <w:tcW w:type="dxa" w:w="208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w:t>
            </w:r>
          </w:p>
        </w:tc>
        <w:tc>
          <w:tcPr>
            <w:tcW w:type="dxa" w:w="2000"/>
            <w:tcBorders>
              <w:top w:val="single" w:color="CCCCCC" w:sz="1"/>
              <w:left w:val="single" w:color="CCCCCC" w:sz="1"/>
              <w:bottom w:val="single" w:color="CCCCCC" w:sz="1"/>
              <w:right w:val="single" w:color="CCCCCC" w:sz="1"/>
            </w:tcBorders>
            <w:shd w:fill="D5F5E3" w:val="clear"/>
            <w:tcMar>
              <w:top w:type="dxa" w:w="70"/>
              <w:left w:type="dxa" w:w="100"/>
              <w:bottom w:type="dxa" w:w="70"/>
              <w:right w:type="dxa" w:w="100"/>
            </w:tcMar>
            <w:vAlign w:val="center"/>
          </w:tcPr>
          <w:p>
            <w:pPr>
              <w:spacing w:after="30" w:before="30"/>
              <w:jc w:val="center"/>
            </w:pPr>
            <w:r>
              <w:rPr>
                <w:rFonts w:ascii="Arial" w:cs="Arial" w:eastAsia="Arial" w:hAnsi="Arial"/>
                <w:b/>
                <w:bCs/>
                <w:sz w:val="19"/>
                <w:szCs w:val="19"/>
              </w:rPr>
              <w:t xml:space="preserve">✅ Deployable at KNUST</w:t>
            </w:r>
          </w:p>
        </w:tc>
      </w:tr>
    </w:tbl>
    <w:p>
      <w:pPr>
        <w:spacing w:after="80" w:before="40"/>
        <w:jc w:val="center"/>
      </w:pPr>
      <w:r>
        <w:rPr>
          <w:rFonts w:ascii="Arial" w:cs="Arial" w:eastAsia="Arial" w:hAnsi="Arial"/>
          <w:i/>
          <w:iCs/>
          <w:color w:val="666666"/>
          <w:sz w:val="19"/>
          <w:szCs w:val="19"/>
        </w:rPr>
        <w:t xml:space="preserve">Table 14. Complete results scorecard across all three research objectives. Green = positive finding confirming research hypothesis. All Wilcoxon tests Bonferroni-corrected (αₐ₅ₔ = 0.0167).</w:t>
      </w:r>
    </w:p>
    <w:p>
      <w:pPr>
        <w:spacing w:after="8" w:before="8"/>
      </w:pPr>
      <w:r>
        <w:t xml:space="preserve"/>
      </w:r>
    </w:p>
    <w:p>
      <w:pPr>
        <w:pStyle w:val="Heading2"/>
        <w:spacing w:after="80" w:before="240"/>
      </w:pPr>
      <w:r>
        <w:rPr>
          <w:rFonts w:ascii="Arial" w:cs="Arial" w:eastAsia="Arial" w:hAnsi="Arial"/>
          <w:b/>
          <w:bCs/>
          <w:color w:val="1F3070"/>
          <w:sz w:val="24"/>
          <w:szCs w:val="24"/>
        </w:rPr>
        <w:t xml:space="preserve">3.5 Figures Reference List</w:t>
      </w:r>
    </w:p>
    <w:p>
      <w:pPr>
        <w:spacing w:after="80" w:before="80" w:line="300"/>
        <w:jc w:val="both"/>
      </w:pPr>
      <w:r>
        <w:rPr>
          <w:rFonts w:ascii="Arial" w:cs="Arial" w:eastAsia="Arial" w:hAnsi="Arial"/>
          <w:sz w:val="22"/>
          <w:szCs w:val="22"/>
        </w:rPr>
        <w:t xml:space="preserve">The following figures, generated during the experiment phase, accompany this Results section and are submitted as separate image files:</w:t>
      </w:r>
    </w:p>
    <w:p>
      <w:pPr>
        <w:pStyle w:val="ListParagraph"/>
        <w:numPr>
          <w:ilvl w:val="0"/>
          <w:numId w:val="2"/>
        </w:numPr>
        <w:spacing w:after="40" w:before="40" w:line="280"/>
      </w:pPr>
      <w:r>
        <w:rPr>
          <w:rFonts w:ascii="Arial" w:cs="Arial" w:eastAsia="Arial" w:hAnsi="Arial"/>
          <w:sz w:val="22"/>
          <w:szCs w:val="22"/>
        </w:rPr>
        <w:t xml:space="preserve">Figure 1 — confusion_matrices.png: Side-by-side confusion matrices for Nyansapo-QIC (baseline) vs Nyansapo-QIC-WCE (engineered), seed 42 test fold</w:t>
      </w:r>
    </w:p>
    <w:p>
      <w:pPr>
        <w:pStyle w:val="ListParagraph"/>
        <w:numPr>
          <w:ilvl w:val="0"/>
          <w:numId w:val="2"/>
        </w:numPr>
        <w:spacing w:after="40" w:before="40" w:line="280"/>
      </w:pPr>
      <w:r>
        <w:rPr>
          <w:rFonts w:ascii="Arial" w:cs="Arial" w:eastAsia="Arial" w:hAnsi="Arial"/>
          <w:sz w:val="22"/>
          <w:szCs w:val="22"/>
        </w:rPr>
        <w:t xml:space="preserve">Figure 2 — qic_engineering_results.png: Three-panel engineering results figure (Macro F1 bar chart, F1 distribution boxplot, per-seed line chart across 20 seeds)</w:t>
      </w:r>
    </w:p>
    <w:p>
      <w:pPr>
        <w:pStyle w:val="ListParagraph"/>
        <w:numPr>
          <w:ilvl w:val="0"/>
          <w:numId w:val="2"/>
        </w:numPr>
        <w:spacing w:after="40" w:before="40" w:line="280"/>
      </w:pPr>
      <w:r>
        <w:rPr>
          <w:rFonts w:ascii="Arial" w:cs="Arial" w:eastAsia="Arial" w:hAnsi="Arial"/>
          <w:sz w:val="22"/>
          <w:szCs w:val="22"/>
        </w:rPr>
        <w:t xml:space="preserve">Figure 3 — results_chart.png: BERTScore F1 comparison bar chart with error bars (4 systems) and Cohen’s d effect size chart</w:t>
      </w:r>
    </w:p>
    <w:p>
      <w:pPr>
        <w:pStyle w:val="ListParagraph"/>
        <w:numPr>
          <w:ilvl w:val="0"/>
          <w:numId w:val="2"/>
        </w:numPr>
        <w:spacing w:after="40" w:before="40" w:line="280"/>
      </w:pPr>
      <w:r>
        <w:rPr>
          <w:rFonts w:ascii="Arial" w:cs="Arial" w:eastAsia="Arial" w:hAnsi="Arial"/>
          <w:sz w:val="22"/>
          <w:szCs w:val="22"/>
        </w:rPr>
        <w:t xml:space="preserve">Figure 4 — final_results_chart.png: Complete evaluation figure (BERTScore + Faithfulness + Cohen’s d, 3-panel)</w:t>
      </w:r>
    </w:p>
    <w:p>
      <w:pPr>
        <w:pStyle w:val="ListParagraph"/>
        <w:numPr>
          <w:ilvl w:val="0"/>
          <w:numId w:val="2"/>
        </w:numPr>
        <w:spacing w:after="40" w:before="40" w:line="280"/>
      </w:pPr>
      <w:r>
        <w:rPr>
          <w:rFonts w:ascii="Arial" w:cs="Arial" w:eastAsia="Arial" w:hAnsi="Arial"/>
          <w:sz w:val="22"/>
          <w:szCs w:val="22"/>
        </w:rPr>
        <w:t xml:space="preserve">Figure 5 — latency_chart.png: Online vs offline latency bar chart with deployment comparison table</w:t>
      </w:r>
    </w:p>
    <w:p>
      <w:pPr>
        <w:pStyle w:val="ListParagraph"/>
        <w:numPr>
          <w:ilvl w:val="0"/>
          <w:numId w:val="2"/>
        </w:numPr>
        <w:spacing w:after="40" w:before="40" w:line="280"/>
      </w:pPr>
      <w:r>
        <w:rPr>
          <w:rFonts w:ascii="Arial" w:cs="Arial" w:eastAsia="Arial" w:hAnsi="Arial"/>
          <w:sz w:val="22"/>
          <w:szCs w:val="22"/>
        </w:rPr>
        <w:t xml:space="preserve">Figure 6 — complete_evaluation.png: Master 6-panel evaluation summary (BERTScore vs ROUGE-L, ablation study, 5-fold CV, fairness by topic, latency, results scorecard)</w:t>
      </w:r>
    </w:p>
    <w:p>
      <w:pPr>
        <w:spacing w:after="8" w:before="8"/>
      </w:pPr>
      <w:r>
        <w:t xml:space="preserve"/>
      </w:r>
    </w:p>
    <w:p>
      <w:pPr>
        <w:spacing w:after="80" w:before="80" w:line="300"/>
        <w:jc w:val="both"/>
      </w:pPr>
      <w:r>
        <w:rPr>
          <w:rFonts w:ascii="Arial" w:cs="Arial" w:eastAsia="Arial" w:hAnsi="Arial"/>
          <w:sz w:val="22"/>
          <w:szCs w:val="22"/>
        </w:rPr>
        <w:t xml:space="preserve">Note: Figures 3–6 use development corpus results (10,865 student-collected lecture slide chunks). Final camera-ready figures will be regenerated on the official KNUST IDL transcript corpus (130 recordings, Whisper ASR) and 200 human-annotated gold-standard QA pairs, replacing CRAG self-reference scores with human-verified reference scores.</w:t>
      </w:r>
    </w:p>
    <w:p>
      <w:pPr>
        <w:spacing w:after="8" w:before="8"/>
      </w:pPr>
      <w:r>
        <w:t xml:space="preserve"/>
      </w:r>
    </w:p>
    <w:p>
      <w:pPr>
        <w:pBdr>
          <w:top w:val="single" w:color="CCCCCC" w:sz="2" w:space="4"/>
        </w:pBdr>
        <w:spacing w:after="60" w:before="60"/>
        <w:jc w:val="center"/>
      </w:pPr>
      <w:r>
        <w:rPr>
          <w:rFonts w:ascii="Arial" w:cs="Arial" w:eastAsia="Arial" w:hAnsi="Arial"/>
          <w:i/>
          <w:iCs/>
          <w:color w:val="666666"/>
          <w:sz w:val="19"/>
          <w:szCs w:val="19"/>
        </w:rPr>
        <w:t xml:space="preserve">Nyansapo Research Team — Group 1 — KNUST 2025–2026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9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07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30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2026-07-29T18:46:39.725Z</dcterms:created>
  <dcterms:modified xsi:type="dcterms:W3CDTF">2026-07-29T18:46:39.738Z</dcterms:modified>
</cp:coreProperties>
</file>

<file path=docProps/custom.xml><?xml version="1.0" encoding="utf-8"?>
<Properties xmlns="http://schemas.openxmlformats.org/officeDocument/2006/custom-properties" xmlns:vt="http://schemas.openxmlformats.org/officeDocument/2006/docPropsVTypes"/>
</file>