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199F7B" w14:textId="77777777" w:rsidR="004C02A8" w:rsidRDefault="00000000">
      <w:pPr>
        <w:pBdr>
          <w:bottom w:val="thick" w:sz="6" w:space="4" w:color="2E4099"/>
        </w:pBdr>
        <w:spacing w:after="60"/>
        <w:jc w:val="center"/>
      </w:pPr>
      <w:r>
        <w:rPr>
          <w:b/>
          <w:bCs/>
          <w:color w:val="2E4099"/>
          <w:sz w:val="20"/>
          <w:szCs w:val="20"/>
        </w:rPr>
        <w:t>CAN-DO RESEARCH LAB  |  KNUST DEPARTMENT OF COMPUTER SCIENCE</w:t>
      </w:r>
    </w:p>
    <w:p w14:paraId="0E08181D" w14:textId="77777777" w:rsidR="004C02A8" w:rsidRDefault="00000000">
      <w:pPr>
        <w:spacing w:before="60" w:after="60"/>
        <w:jc w:val="center"/>
      </w:pPr>
      <w:r>
        <w:rPr>
          <w:b/>
          <w:bCs/>
          <w:color w:val="1F3070"/>
          <w:sz w:val="24"/>
          <w:szCs w:val="24"/>
        </w:rPr>
        <w:t>PHASE 1 · STEP 1.1 — ML METHODS SECTION — DRAFT 0</w:t>
      </w:r>
    </w:p>
    <w:p w14:paraId="6791CF9F" w14:textId="77777777" w:rsidR="004C02A8" w:rsidRDefault="004C02A8">
      <w:pPr>
        <w:spacing w:before="8" w:after="8"/>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2551"/>
        <w:gridCol w:w="1485"/>
        <w:gridCol w:w="3683"/>
      </w:tblGrid>
      <w:tr w:rsidR="004C02A8" w14:paraId="1E3522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5FD704B7" w14:textId="77777777" w:rsidR="004C02A8" w:rsidRDefault="00000000">
            <w:r>
              <w:rPr>
                <w:b/>
                <w:bCs/>
                <w:sz w:val="19"/>
                <w:szCs w:val="19"/>
              </w:rPr>
              <w:t>Student name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6DCC748" w14:textId="77777777" w:rsidR="004C02A8" w:rsidRDefault="00000000">
            <w:r>
              <w:rPr>
                <w:sz w:val="19"/>
                <w:szCs w:val="19"/>
              </w:rPr>
              <w:t>Agyei Michael Addai (20918643) et al.</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6ED5F716" w14:textId="77777777" w:rsidR="004C02A8" w:rsidRDefault="00000000">
            <w:r>
              <w:rPr>
                <w:b/>
                <w:bCs/>
                <w:sz w:val="19"/>
                <w:szCs w:val="19"/>
              </w:rPr>
              <w:t>Supervisor</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174F058" w14:textId="77777777" w:rsidR="004C02A8" w:rsidRDefault="00000000">
            <w:r>
              <w:rPr>
                <w:sz w:val="19"/>
                <w:szCs w:val="19"/>
              </w:rPr>
              <w:t>Dr. Eric Opoku Osei</w:t>
            </w:r>
          </w:p>
        </w:tc>
      </w:tr>
      <w:tr w:rsidR="004C02A8" w14:paraId="65A0D6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7770F47A" w14:textId="77777777" w:rsidR="004C02A8" w:rsidRDefault="00000000">
            <w:r>
              <w:rPr>
                <w:b/>
                <w:bCs/>
                <w:sz w:val="19"/>
                <w:szCs w:val="19"/>
              </w:rPr>
              <w:t>Submission round</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35FE1BC" w14:textId="77777777" w:rsidR="004C02A8" w:rsidRDefault="00000000">
            <w:r>
              <w:rPr>
                <w:sz w:val="19"/>
                <w:szCs w:val="19"/>
              </w:rPr>
              <w:t>R01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5063B50C" w14:textId="77777777" w:rsidR="004C02A8" w:rsidRDefault="00000000">
            <w:r>
              <w:rPr>
                <w:b/>
                <w:bCs/>
                <w:sz w:val="19"/>
                <w:szCs w:val="19"/>
              </w:rPr>
              <w:t>Model status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C257FB4" w14:textId="77777777" w:rsidR="004C02A8" w:rsidRDefault="00000000">
            <w:r>
              <w:rPr>
                <w:b/>
                <w:bCs/>
                <w:sz w:val="19"/>
                <w:szCs w:val="19"/>
              </w:rPr>
              <w:t>ENGINEERED</w:t>
            </w:r>
          </w:p>
        </w:tc>
      </w:tr>
      <w:tr w:rsidR="004C02A8" w14:paraId="4853FE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66617D29" w14:textId="77777777" w:rsidR="004C02A8" w:rsidRDefault="00000000">
            <w:r>
              <w:rPr>
                <w:b/>
                <w:bCs/>
                <w:sz w:val="19"/>
                <w:szCs w:val="19"/>
              </w:rPr>
              <w:t>Dataset strategy</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50B89E7" w14:textId="77777777" w:rsidR="004C02A8" w:rsidRDefault="00000000">
            <w:r>
              <w:rPr>
                <w:b/>
                <w:bCs/>
                <w:sz w:val="19"/>
                <w:szCs w:val="19"/>
              </w:rPr>
              <w:t>SINGLE-SOURCE</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66B62DFE" w14:textId="77777777" w:rsidR="004C02A8" w:rsidRDefault="00000000">
            <w:r>
              <w:rPr>
                <w:b/>
                <w:bCs/>
                <w:sz w:val="19"/>
                <w:szCs w:val="19"/>
              </w:rPr>
              <w:t>Target claim tier</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0F699F" w14:textId="77777777" w:rsidR="004C02A8" w:rsidRDefault="00000000">
            <w:r>
              <w:rPr>
                <w:sz w:val="19"/>
                <w:szCs w:val="19"/>
              </w:rPr>
              <w:t>Tier 1 (Bounded)</w:t>
            </w:r>
          </w:p>
        </w:tc>
      </w:tr>
      <w:tr w:rsidR="004C02A8" w14:paraId="3392F5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59604371" w14:textId="77777777" w:rsidR="004C02A8" w:rsidRDefault="00000000">
            <w:r>
              <w:rPr>
                <w:b/>
                <w:bCs/>
                <w:sz w:val="19"/>
                <w:szCs w:val="19"/>
              </w:rPr>
              <w:t>Date submitted</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D083B63" w14:textId="58F3F5F9" w:rsidR="004C02A8" w:rsidRDefault="00DA655C">
            <w:r>
              <w:rPr>
                <w:sz w:val="19"/>
                <w:szCs w:val="19"/>
              </w:rPr>
              <w:t>8</w:t>
            </w:r>
            <w:r w:rsidR="00000000">
              <w:rPr>
                <w:sz w:val="19"/>
                <w:szCs w:val="19"/>
              </w:rPr>
              <w:t xml:space="preserve">th </w:t>
            </w:r>
            <w:r>
              <w:rPr>
                <w:sz w:val="19"/>
                <w:szCs w:val="19"/>
              </w:rPr>
              <w:t xml:space="preserve">September </w:t>
            </w:r>
            <w:r w:rsidR="00000000">
              <w:rPr>
                <w:sz w:val="19"/>
                <w:szCs w:val="19"/>
              </w:rPr>
              <w:t>2026</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1FDB300A" w14:textId="77777777" w:rsidR="004C02A8" w:rsidRDefault="00000000">
            <w:r>
              <w:rPr>
                <w:b/>
                <w:bCs/>
                <w:sz w:val="19"/>
                <w:szCs w:val="19"/>
              </w:rPr>
              <w:t>GitHub</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6CEB8C4" w14:textId="77777777" w:rsidR="004C02A8" w:rsidRDefault="00000000">
            <w:r>
              <w:rPr>
                <w:sz w:val="18"/>
                <w:szCs w:val="18"/>
              </w:rPr>
              <w:t>github.com/maagyei04/Nyansapo-RAG-Research</w:t>
            </w:r>
          </w:p>
        </w:tc>
      </w:tr>
    </w:tbl>
    <w:p w14:paraId="27DFD443" w14:textId="77777777" w:rsidR="004C02A8" w:rsidRDefault="004C02A8">
      <w:pPr>
        <w:spacing w:before="12" w:after="12"/>
      </w:pPr>
    </w:p>
    <w:p w14:paraId="50DED5BF" w14:textId="77777777" w:rsidR="004C02A8" w:rsidRDefault="00000000">
      <w:pPr>
        <w:spacing w:before="120" w:after="60"/>
        <w:jc w:val="center"/>
      </w:pPr>
      <w:r>
        <w:rPr>
          <w:b/>
          <w:bCs/>
          <w:color w:val="2E4099"/>
          <w:sz w:val="24"/>
          <w:szCs w:val="24"/>
        </w:rPr>
        <w:t>Nyansapo: A Cost-Weighted Intent-Classified Corrective Retrieval-Augmented Generation System for Hallucination Reduction in a Bandwidth-Constrained Ghanaian University Environment</w:t>
      </w:r>
    </w:p>
    <w:p w14:paraId="0FBADE33" w14:textId="77777777" w:rsidR="004C02A8" w:rsidRDefault="004C02A8">
      <w:pPr>
        <w:spacing w:before="8" w:after="8"/>
      </w:pPr>
    </w:p>
    <w:p w14:paraId="0EEB0DE4" w14:textId="77777777" w:rsidR="004C02A8" w:rsidRDefault="00000000">
      <w:pPr>
        <w:pStyle w:val="Heading2"/>
      </w:pPr>
      <w:r>
        <w:t>Research Title</w:t>
      </w:r>
    </w:p>
    <w:p w14:paraId="6A80A29E" w14:textId="77777777" w:rsidR="004C02A8" w:rsidRDefault="00000000">
      <w:pPr>
        <w:spacing w:before="80" w:after="80" w:line="300" w:lineRule="auto"/>
        <w:jc w:val="both"/>
      </w:pPr>
      <w:r>
        <w:t>Nyansapo: A Cost-Weighted Intent-Classified Corrective Retrieval-Augmented Generation System for Hallucination Reduction in a Bandwidth-Constrained Ghanaian University Environment</w:t>
      </w:r>
    </w:p>
    <w:p w14:paraId="63EB697A" w14:textId="77777777" w:rsidR="004C02A8" w:rsidRDefault="00000000">
      <w:pPr>
        <w:pStyle w:val="Heading2"/>
      </w:pPr>
      <w:r>
        <w:t>Problem Statement</w:t>
      </w:r>
    </w:p>
    <w:p w14:paraId="593A649B" w14:textId="77777777" w:rsidR="004C02A8" w:rsidRDefault="00000000">
      <w:pPr>
        <w:spacing w:before="80" w:after="80" w:line="300" w:lineRule="auto"/>
        <w:jc w:val="both"/>
      </w:pPr>
      <w:r>
        <w:t>Standard Large Language Models deployed for student academic support in high-enrolment Ghanaian university lecture halls frequently generate hallucinations — factually incorrect but plausible-sounding information — which poses significant pedagogical risks in high-stakes educational environments (Ji et al., 2023). Naïve Retrieval-Augmented Generation pipelines (Lewis et al., 2020) partially address hallucination by grounding outputs in retrieved documents; however, when retrieval quality is poor, incorrect chunks are still passed to the generator and hallucinations persist. No prior study has deployed a corrective, offline-capable RAG system with cost-weighted intent classification in a Ghanaian public university context (Gao et al., 2023).</w:t>
      </w:r>
    </w:p>
    <w:p w14:paraId="30326EBE" w14:textId="77777777" w:rsidR="004C02A8" w:rsidRDefault="00000000">
      <w:pPr>
        <w:pStyle w:val="Heading2"/>
      </w:pPr>
      <w:r>
        <w:t>Research Aim and Objectives</w:t>
      </w:r>
    </w:p>
    <w:p w14:paraId="19CF4019" w14:textId="77777777" w:rsidR="004C02A8" w:rsidRDefault="00000000">
      <w:pPr>
        <w:spacing w:before="80" w:after="80" w:line="300" w:lineRule="auto"/>
        <w:jc w:val="both"/>
      </w:pPr>
      <w:r>
        <w:rPr>
          <w:b/>
          <w:bCs/>
        </w:rPr>
        <w:t xml:space="preserve">Aim: </w:t>
      </w:r>
      <w:r>
        <w:t>To develop, engineer, and evaluate a Corrective Retrieval-Augmented Generation tutoring system grounded in KNUST lecture content, with a cost-weighted intent classifier that intercepts out-of-scope queries before retrieval, reducing hallucination and cognitive load in a bandwidth-constrained deployment environment.</w:t>
      </w:r>
    </w:p>
    <w:p w14:paraId="3EDAC717" w14:textId="77777777" w:rsidR="004C02A8" w:rsidRDefault="004C02A8">
      <w:pPr>
        <w:spacing w:before="4" w:after="4"/>
      </w:pPr>
    </w:p>
    <w:p w14:paraId="6A14862F" w14:textId="77777777" w:rsidR="004C02A8" w:rsidRDefault="00000000">
      <w:pPr>
        <w:spacing w:before="80" w:after="80" w:line="300" w:lineRule="auto"/>
        <w:jc w:val="both"/>
      </w:pPr>
      <w:r>
        <w:rPr>
          <w:b/>
          <w:bCs/>
        </w:rPr>
        <w:t xml:space="preserve">Objective 1 (Model Engineering): </w:t>
      </w:r>
      <w:r>
        <w:t>To engineer the Nyansapo-QIC-WCE (Query Intent Classifier with Weighted Cross-Entropy loss), replacing standard cross-entropy with a weighted cross-entropy loss function that assigns class penalty weights derived from both class frequency and downstream misrouting cost, and to evaluate its Macro F1 relative to the baseline Nyansapo-QIC across 20 seeded runs.</w:t>
      </w:r>
    </w:p>
    <w:p w14:paraId="306CA832" w14:textId="77777777" w:rsidR="004C02A8" w:rsidRDefault="004C02A8">
      <w:pPr>
        <w:spacing w:before="4" w:after="4"/>
      </w:pPr>
    </w:p>
    <w:p w14:paraId="537D47F3" w14:textId="77777777" w:rsidR="004C02A8" w:rsidRDefault="00000000">
      <w:pPr>
        <w:spacing w:before="80" w:after="80" w:line="300" w:lineRule="auto"/>
        <w:jc w:val="both"/>
      </w:pPr>
      <w:r>
        <w:rPr>
          <w:b/>
          <w:bCs/>
        </w:rPr>
        <w:t xml:space="preserve">Objective 2 (RAG System Evaluation): </w:t>
      </w:r>
      <w:r>
        <w:t>To evaluate the accuracy and contextual relevance of the Nyansapo CRAG system compared to a naïve RAG baseline, a general-purpose LLM, and a BM25-only baseline, using BERTScore F1, ROUGE-L, and keyword-overlap groundedness scoring on 200 human-annotated gold-standard QA pairs.</w:t>
      </w:r>
    </w:p>
    <w:p w14:paraId="083E218D" w14:textId="77777777" w:rsidR="004C02A8" w:rsidRDefault="004C02A8">
      <w:pPr>
        <w:spacing w:before="4" w:after="4"/>
      </w:pPr>
    </w:p>
    <w:p w14:paraId="5299E3C1" w14:textId="77777777" w:rsidR="004C02A8" w:rsidRDefault="00000000">
      <w:pPr>
        <w:spacing w:before="80" w:after="80" w:line="300" w:lineRule="auto"/>
        <w:jc w:val="both"/>
      </w:pPr>
      <w:r>
        <w:rPr>
          <w:b/>
          <w:bCs/>
        </w:rPr>
        <w:t xml:space="preserve">Objective 3 (Deployment): </w:t>
      </w:r>
      <w:r>
        <w:t>To measure system inference latency under both online and offline deployment modes in a bandwidth-constrained environment, and to evaluate student trust and cognitive load via a validated questionnaire instrument.</w:t>
      </w:r>
    </w:p>
    <w:p w14:paraId="74C35287" w14:textId="77777777" w:rsidR="004C02A8" w:rsidRDefault="00000000">
      <w:pPr>
        <w:pStyle w:val="Heading2"/>
      </w:pPr>
      <w:r>
        <w:t>Theoretical Framework</w:t>
      </w:r>
    </w:p>
    <w:p w14:paraId="04420912" w14:textId="77777777" w:rsidR="004C02A8" w:rsidRDefault="00000000">
      <w:pPr>
        <w:spacing w:before="80" w:after="80" w:line="300" w:lineRule="auto"/>
        <w:jc w:val="both"/>
      </w:pPr>
      <w:r>
        <w:t>Cognitive Load Theory (CLT, Sweller, 2020) guides the study design. The 300-token chunk size was selected to align with CLT recommendations for reducing extraneous cognitive load by presenting information in bounded, coherent segments. The NASA-TLX subscale in the user trust study operationalises CLT-predicted cognitive load as a measurable outcome variable.</w:t>
      </w:r>
    </w:p>
    <w:p w14:paraId="7462ACF6" w14:textId="77777777" w:rsidR="004C02A8" w:rsidRDefault="00000000">
      <w:r>
        <w:br w:type="page"/>
      </w:r>
    </w:p>
    <w:p w14:paraId="089246C4" w14:textId="77777777" w:rsidR="004C02A8" w:rsidRDefault="00000000">
      <w:pPr>
        <w:pStyle w:val="Heading1"/>
      </w:pPr>
      <w:r>
        <w:t>M1. Research Design Overview and Methodological Roadmap</w:t>
      </w:r>
    </w:p>
    <w:p w14:paraId="6EB1882B" w14:textId="77777777" w:rsidR="004C02A8" w:rsidRDefault="00000000">
      <w:pPr>
        <w:spacing w:before="80" w:after="80" w:line="300" w:lineRule="auto"/>
        <w:jc w:val="both"/>
      </w:pPr>
      <w:r>
        <w:t>This study employed a supervised multi-class classification paradigm for the query intent component (Nyansapo-QIC-WCE), paired with a pipeline evaluation design for the Corrective Retrieval-Augmented Generation system. The classification task was a five-class intent detection problem (Definition, Explanation, Identification, Procedural, Out-of-scope). The methodological roadmap proceeds as follows: data sources and provenance are declared in M3; acquisition procedures in M4; ethical governance in M5; preprocessing in M6; feature engineering in M7; class imbalance handling in M8; partitioning in M9; combining strategy in M10; baseline specification in M11; the engineered model in M12; hyperparameter tuning in M13; training protocol in M14; evaluation metrics in M15; ablation and statistical protocol in M16; interpretability in M17; generalisation scope in M18; and computational environment in M19.</w:t>
      </w:r>
    </w:p>
    <w:p w14:paraId="2BC1D7F4" w14:textId="77777777" w:rsidR="004C02A8" w:rsidRDefault="00000000">
      <w:pPr>
        <w:pStyle w:val="Heading1"/>
      </w:pPr>
      <w:r>
        <w:t>M2. Problem Formalisation and Notation</w:t>
      </w:r>
    </w:p>
    <w:p w14:paraId="4686688F" w14:textId="77777777" w:rsidR="004C02A8" w:rsidRDefault="00000000">
      <w:pPr>
        <w:spacing w:before="80" w:after="80" w:line="300" w:lineRule="auto"/>
        <w:jc w:val="both"/>
      </w:pPr>
      <w:r>
        <w:t>Let Q denote the input space of natural language student queries, where each query q ∈ Q is a text string of arbitrary length. The output space Y = {0, 1, 2, 3, 4} represents five mutually exclusive intent classes: Definition (y=0), Explanation (y=1), Identification (y=2), Procedural (y=3), and Out-of-scope (y=4). The classifier learns a mapping f: X → Y, where X ∈ Rⁿ⁾ᵈ is the n × d TF-IDF feature matrix derived from Q, n = 145 training examples, d = 500 TF-IDF features, and k = 5 classes. The unit of analysis is one student query: one row in X corresponds to one natural language question submitted to the Nyansapo system. For the RAG pipeline evaluation, the input is a query q paired with a knowledge base C of c = 12,311 lecture content chunks; the output is a generated natural language answer a. The notation wᵢ denotes the class weight for class i; N denotes total training samples; C denotes class count.</w:t>
      </w:r>
    </w:p>
    <w:p w14:paraId="2D660347" w14:textId="77777777" w:rsidR="004C02A8" w:rsidRDefault="00000000">
      <w:pPr>
        <w:pStyle w:val="Heading1"/>
      </w:pPr>
      <w:r>
        <w:t>M3. Data Sources and Provenance Declaration</w:t>
      </w:r>
    </w:p>
    <w:p w14:paraId="3D987FA7" w14:textId="77777777" w:rsidR="004C02A8" w:rsidRDefault="00000000">
      <w:pPr>
        <w:spacing w:before="80" w:after="80" w:line="300" w:lineRule="auto"/>
        <w:jc w:val="both"/>
      </w:pPr>
      <w:r>
        <w:t>Table 1 reports the provenance of all datasets used in the Nyansapo study.</w:t>
      </w:r>
    </w:p>
    <w:p w14:paraId="1E6600BD" w14:textId="77777777" w:rsidR="004C02A8" w:rsidRDefault="004C02A8">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1221"/>
        <w:gridCol w:w="1198"/>
        <w:gridCol w:w="938"/>
        <w:gridCol w:w="1191"/>
        <w:gridCol w:w="1411"/>
        <w:gridCol w:w="1712"/>
      </w:tblGrid>
      <w:tr w:rsidR="004C02A8" w14:paraId="0FED72AA" w14:textId="77777777">
        <w:tblPrEx>
          <w:tblCellMar>
            <w:top w:w="0" w:type="dxa"/>
            <w:bottom w:w="0" w:type="dxa"/>
          </w:tblCellMar>
        </w:tblPrEx>
        <w:trPr>
          <w:tblHeader/>
        </w:trPr>
        <w:tc>
          <w:tcPr>
            <w:tcW w:w="18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4A3708AF" w14:textId="77777777" w:rsidR="004C02A8" w:rsidRDefault="00000000">
            <w:r>
              <w:rPr>
                <w:b/>
                <w:bCs/>
                <w:color w:val="FFFFFF"/>
                <w:sz w:val="18"/>
                <w:szCs w:val="18"/>
              </w:rPr>
              <w:t>Dataset</w:t>
            </w:r>
          </w:p>
        </w:tc>
        <w:tc>
          <w:tcPr>
            <w:tcW w:w="12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3C54F9FD" w14:textId="77777777" w:rsidR="004C02A8" w:rsidRDefault="00000000">
            <w:r>
              <w:rPr>
                <w:b/>
                <w:bCs/>
                <w:color w:val="FFFFFF"/>
                <w:sz w:val="18"/>
                <w:szCs w:val="18"/>
              </w:rPr>
              <w:t>Source Type</w:t>
            </w:r>
          </w:p>
        </w:tc>
        <w:tc>
          <w:tcPr>
            <w:tcW w:w="12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230745A4" w14:textId="77777777" w:rsidR="004C02A8" w:rsidRDefault="00000000">
            <w:r>
              <w:rPr>
                <w:b/>
                <w:bCs/>
                <w:color w:val="FFFFFF"/>
                <w:sz w:val="18"/>
                <w:szCs w:val="18"/>
              </w:rPr>
              <w:t>Size</w:t>
            </w:r>
          </w:p>
        </w:tc>
        <w:tc>
          <w:tcPr>
            <w:tcW w:w="10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6907592D" w14:textId="77777777" w:rsidR="004C02A8" w:rsidRDefault="00000000">
            <w:r>
              <w:rPr>
                <w:b/>
                <w:bCs/>
                <w:color w:val="FFFFFF"/>
                <w:sz w:val="18"/>
                <w:szCs w:val="18"/>
              </w:rPr>
              <w:t>Date</w:t>
            </w:r>
          </w:p>
        </w:tc>
        <w:tc>
          <w:tcPr>
            <w:tcW w:w="116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59F500D1" w14:textId="77777777" w:rsidR="004C02A8" w:rsidRDefault="00000000">
            <w:r>
              <w:rPr>
                <w:b/>
                <w:bCs/>
                <w:color w:val="FFFFFF"/>
                <w:sz w:val="18"/>
                <w:szCs w:val="18"/>
              </w:rPr>
              <w:t>Licence</w:t>
            </w:r>
          </w:p>
        </w:tc>
        <w:tc>
          <w:tcPr>
            <w:tcW w:w="12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272D3A3A" w14:textId="77777777" w:rsidR="004C02A8" w:rsidRDefault="00000000">
            <w:r>
              <w:rPr>
                <w:b/>
                <w:bCs/>
                <w:color w:val="FFFFFF"/>
                <w:sz w:val="18"/>
                <w:szCs w:val="18"/>
              </w:rPr>
              <w:t>Role</w:t>
            </w:r>
          </w:p>
        </w:tc>
        <w:tc>
          <w:tcPr>
            <w:tcW w:w="18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0D1F96EB" w14:textId="77777777" w:rsidR="004C02A8" w:rsidRDefault="00000000">
            <w:r>
              <w:rPr>
                <w:b/>
                <w:bCs/>
                <w:color w:val="FFFFFF"/>
                <w:sz w:val="18"/>
                <w:szCs w:val="18"/>
              </w:rPr>
              <w:t>Citation</w:t>
            </w:r>
          </w:p>
        </w:tc>
      </w:tr>
      <w:tr w:rsidR="004C02A8" w14:paraId="694F92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4AD90" w14:textId="77777777" w:rsidR="004C02A8" w:rsidRDefault="00000000">
            <w:pPr>
              <w:spacing w:before="30" w:after="30"/>
            </w:pPr>
            <w:r>
              <w:rPr>
                <w:sz w:val="18"/>
                <w:szCs w:val="18"/>
              </w:rPr>
              <w:t>KNUST Lecture Slides Corpus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343EF" w14:textId="77777777" w:rsidR="004C02A8" w:rsidRDefault="00000000">
            <w:pPr>
              <w:spacing w:before="30" w:after="30"/>
            </w:pPr>
            <w:r>
              <w:rPr>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A1DA66" w14:textId="77777777" w:rsidR="004C02A8" w:rsidRDefault="00000000">
            <w:pPr>
              <w:spacing w:before="30" w:after="30"/>
            </w:pPr>
            <w:r>
              <w:rPr>
                <w:sz w:val="18"/>
                <w:szCs w:val="18"/>
              </w:rPr>
              <w:t>12,311 chunks (28 files)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46C32" w14:textId="77777777" w:rsidR="004C02A8" w:rsidRDefault="00000000">
            <w:pPr>
              <w:spacing w:before="30" w:after="30"/>
            </w:pPr>
            <w:r>
              <w:rPr>
                <w:sz w:val="18"/>
                <w:szCs w:val="18"/>
              </w:rPr>
              <w:t>2024–2026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7B5A5" w14:textId="77777777" w:rsidR="004C02A8" w:rsidRDefault="00000000">
            <w:pPr>
              <w:spacing w:before="30" w:after="30"/>
            </w:pPr>
            <w:r>
              <w:rPr>
                <w:sz w:val="18"/>
                <w:szCs w:val="18"/>
              </w:rPr>
              <w:t>Institutional 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061F9" w14:textId="77777777" w:rsidR="004C02A8" w:rsidRDefault="00000000">
            <w:pPr>
              <w:spacing w:before="30" w:after="30"/>
            </w:pPr>
            <w:r>
              <w:rPr>
                <w:sz w:val="18"/>
                <w:szCs w:val="18"/>
              </w:rPr>
              <w:t>RAG knowledge base + intent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B3791" w14:textId="77777777" w:rsidR="004C02A8" w:rsidRDefault="00000000">
            <w:pPr>
              <w:spacing w:before="30" w:after="30"/>
            </w:pPr>
            <w:r>
              <w:rPr>
                <w:sz w:val="18"/>
                <w:szCs w:val="18"/>
              </w:rPr>
              <w:t>KNUST Multimedia Unit</w:t>
            </w:r>
          </w:p>
        </w:tc>
      </w:tr>
      <w:tr w:rsidR="004C02A8" w14:paraId="2E1979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2CBA5E33" w14:textId="77777777" w:rsidR="004C02A8" w:rsidRDefault="00000000">
            <w:pPr>
              <w:spacing w:before="30" w:after="30"/>
            </w:pPr>
            <w:r>
              <w:rPr>
                <w:sz w:val="18"/>
                <w:szCs w:val="18"/>
              </w:rPr>
              <w:t>Gold Standard QA Pairs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4BC8739" w14:textId="77777777" w:rsidR="004C02A8" w:rsidRDefault="00000000">
            <w:pPr>
              <w:spacing w:before="30" w:after="30"/>
            </w:pPr>
            <w:r>
              <w:rPr>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4F9C4E21" w14:textId="77777777" w:rsidR="004C02A8" w:rsidRDefault="00000000">
            <w:pPr>
              <w:spacing w:before="30" w:after="30"/>
            </w:pPr>
            <w:r>
              <w:rPr>
                <w:sz w:val="18"/>
                <w:szCs w:val="18"/>
              </w:rPr>
              <w:t>200 pairs, 5 courses</w:t>
            </w:r>
          </w:p>
        </w:tc>
        <w:tc>
          <w:tcPr>
            <w:tcW w:w="1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3A6E1936" w14:textId="77777777" w:rsidR="004C02A8" w:rsidRDefault="00000000">
            <w:pPr>
              <w:spacing w:before="30" w:after="30"/>
            </w:pPr>
            <w:r>
              <w:rPr>
                <w:sz w:val="18"/>
                <w:szCs w:val="18"/>
              </w:rPr>
              <w:t>June 2026</w:t>
            </w:r>
          </w:p>
        </w:tc>
        <w:tc>
          <w:tcPr>
            <w:tcW w:w="11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2CCA0290" w14:textId="77777777" w:rsidR="004C02A8" w:rsidRDefault="00000000">
            <w:pPr>
              <w:spacing w:before="30" w:after="30"/>
            </w:pPr>
            <w:r>
              <w:rPr>
                <w:sz w:val="18"/>
                <w:szCs w:val="18"/>
              </w:rPr>
              <w:t>Institutional</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5CD10EE6" w14:textId="77777777" w:rsidR="004C02A8" w:rsidRDefault="00000000">
            <w:pPr>
              <w:spacing w:before="30" w:after="30"/>
            </w:pPr>
            <w:r>
              <w:rPr>
                <w:sz w:val="18"/>
                <w:szCs w:val="18"/>
              </w:rPr>
              <w:t>RAG evaluation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5B357D6C" w14:textId="77777777" w:rsidR="004C02A8" w:rsidRDefault="00000000">
            <w:pPr>
              <w:spacing w:before="30" w:after="30"/>
            </w:pPr>
            <w:r>
              <w:rPr>
                <w:sz w:val="18"/>
                <w:szCs w:val="18"/>
              </w:rPr>
              <w:t>Curated from KNUST exam papers</w:t>
            </w:r>
          </w:p>
        </w:tc>
      </w:tr>
      <w:tr w:rsidR="004C02A8" w14:paraId="15199C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0E808" w14:textId="77777777" w:rsidR="004C02A8" w:rsidRDefault="00000000">
            <w:pPr>
              <w:spacing w:before="30" w:after="30"/>
            </w:pPr>
            <w:r>
              <w:rPr>
                <w:sz w:val="18"/>
                <w:szCs w:val="18"/>
              </w:rPr>
              <w:t>Intent Classification Training 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24430" w14:textId="77777777" w:rsidR="004C02A8" w:rsidRDefault="00000000">
            <w:pPr>
              <w:spacing w:before="30" w:after="30"/>
            </w:pPr>
            <w:r>
              <w:rPr>
                <w:sz w:val="18"/>
                <w:szCs w:val="18"/>
              </w:rPr>
              <w:t>FIELD + SYNTHETIC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EB1A4" w14:textId="77777777" w:rsidR="004C02A8" w:rsidRDefault="00000000">
            <w:pPr>
              <w:spacing w:before="30" w:after="30"/>
            </w:pPr>
            <w:r>
              <w:rPr>
                <w:sz w:val="18"/>
                <w:szCs w:val="18"/>
              </w:rPr>
              <w:t>145 labelled queries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1B001" w14:textId="77777777" w:rsidR="004C02A8" w:rsidRDefault="00000000">
            <w:pPr>
              <w:spacing w:before="30" w:after="30"/>
            </w:pPr>
            <w:r>
              <w:rPr>
                <w:sz w:val="18"/>
                <w:szCs w:val="18"/>
              </w:rPr>
              <w:t>June 2026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9DE86" w14:textId="77777777" w:rsidR="004C02A8" w:rsidRDefault="00000000">
            <w:pPr>
              <w:spacing w:before="30" w:after="30"/>
            </w:pPr>
            <w:r>
              <w:rPr>
                <w:sz w:val="18"/>
                <w:szCs w:val="18"/>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A6B15" w14:textId="77777777" w:rsidR="004C02A8" w:rsidRDefault="00000000">
            <w:pPr>
              <w:spacing w:before="30" w:after="30"/>
            </w:pPr>
            <w:r>
              <w:rPr>
                <w:sz w:val="18"/>
                <w:szCs w:val="18"/>
              </w:rPr>
              <w:t>Classifier training/val/test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AAEB82" w14:textId="77777777" w:rsidR="004C02A8" w:rsidRDefault="00000000">
            <w:pPr>
              <w:spacing w:before="30" w:after="30"/>
            </w:pPr>
            <w:r>
              <w:rPr>
                <w:sz w:val="18"/>
                <w:szCs w:val="18"/>
              </w:rPr>
              <w:t>Derived from evaluation log + manual construction</w:t>
            </w:r>
          </w:p>
        </w:tc>
      </w:tr>
      <w:tr w:rsidR="004C02A8" w14:paraId="0D167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129FCA13" w14:textId="77777777" w:rsidR="004C02A8" w:rsidRDefault="00000000">
            <w:pPr>
              <w:spacing w:before="30" w:after="30"/>
            </w:pPr>
            <w:r>
              <w:rPr>
                <w:sz w:val="18"/>
                <w:szCs w:val="18"/>
              </w:rPr>
              <w:t>User Trust Study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1717EE3B" w14:textId="77777777" w:rsidR="004C02A8" w:rsidRDefault="00000000">
            <w:pPr>
              <w:spacing w:before="30" w:after="30"/>
            </w:pPr>
            <w:r>
              <w:rPr>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C1B112C" w14:textId="77777777" w:rsidR="004C02A8" w:rsidRDefault="00000000">
            <w:pPr>
              <w:spacing w:before="30" w:after="30"/>
            </w:pPr>
            <w:r>
              <w:rPr>
                <w:sz w:val="18"/>
                <w:szCs w:val="18"/>
              </w:rPr>
              <w:t>298 respondents</w:t>
            </w:r>
          </w:p>
        </w:tc>
        <w:tc>
          <w:tcPr>
            <w:tcW w:w="1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56E8042" w14:textId="77777777" w:rsidR="004C02A8" w:rsidRDefault="00000000">
            <w:pPr>
              <w:spacing w:before="30" w:after="30"/>
            </w:pPr>
            <w:r>
              <w:rPr>
                <w:sz w:val="18"/>
                <w:szCs w:val="18"/>
              </w:rPr>
              <w:t>June 2026</w:t>
            </w:r>
          </w:p>
        </w:tc>
        <w:tc>
          <w:tcPr>
            <w:tcW w:w="11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7B3B0B16" w14:textId="77777777" w:rsidR="004C02A8" w:rsidRDefault="00000000">
            <w:pPr>
              <w:spacing w:before="30" w:after="30"/>
            </w:pPr>
            <w:r>
              <w:rPr>
                <w:sz w:val="18"/>
                <w:szCs w:val="18"/>
              </w:rPr>
              <w:t>Anonymised</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23254427" w14:textId="77777777" w:rsidR="004C02A8" w:rsidRDefault="00000000">
            <w:pPr>
              <w:spacing w:before="30" w:after="30"/>
            </w:pPr>
            <w:r>
              <w:rPr>
                <w:sz w:val="18"/>
                <w:szCs w:val="18"/>
              </w:rPr>
              <w:t>HCAI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67B45B11" w14:textId="77777777" w:rsidR="004C02A8" w:rsidRDefault="00000000">
            <w:pPr>
              <w:spacing w:before="30" w:after="30"/>
            </w:pPr>
            <w:r>
              <w:rPr>
                <w:sz w:val="18"/>
                <w:szCs w:val="18"/>
              </w:rPr>
              <w:t>KNUST CS undergraduate cohort</w:t>
            </w:r>
          </w:p>
        </w:tc>
      </w:tr>
    </w:tbl>
    <w:p w14:paraId="331DBA69" w14:textId="77777777" w:rsidR="004C02A8" w:rsidRDefault="004C02A8">
      <w:pPr>
        <w:spacing w:before="4" w:after="4"/>
      </w:pPr>
    </w:p>
    <w:p w14:paraId="16850C0A" w14:textId="77777777" w:rsidR="004C02A8" w:rsidRDefault="00000000">
      <w:pPr>
        <w:spacing w:before="40" w:after="80"/>
        <w:jc w:val="center"/>
      </w:pPr>
      <w:r>
        <w:rPr>
          <w:i/>
          <w:iCs/>
          <w:color w:val="666666"/>
          <w:sz w:val="18"/>
          <w:szCs w:val="18"/>
        </w:rPr>
        <w:t>Table 1. Dataset provenance declaration. FIELD = collected from KNUST institutional sources. IP = Institutional Property.</w:t>
      </w:r>
    </w:p>
    <w:p w14:paraId="092B9076" w14:textId="77777777" w:rsidR="004C02A8" w:rsidRDefault="004C02A8">
      <w:pPr>
        <w:spacing w:before="6" w:after="6"/>
      </w:pPr>
    </w:p>
    <w:p w14:paraId="6751B484" w14:textId="77777777" w:rsidR="004C02A8" w:rsidRDefault="00000000">
      <w:pPr>
        <w:spacing w:before="80" w:after="80" w:line="300" w:lineRule="auto"/>
        <w:jc w:val="both"/>
      </w:pPr>
      <w:r>
        <w:t>The KNUST Lecture Slides Corpus comprised 28 files across five courses: CSM 478 Computer Networks, MCS 472 Fundamentals of Entrepreneurship, Computer Security and Penetration Testing, Expert Systems, and Introduction to Compilers, supplemented by pre-existing CS lecture slides collected by the research team. All files were sourced from official KNUST course repositories and the KNUST Multimedia Learning Unit. No public or third-party dataset was used in the RAG knowledge base or the classifier training set.</w:t>
      </w:r>
    </w:p>
    <w:p w14:paraId="448707E4" w14:textId="77777777" w:rsidR="004C02A8" w:rsidRDefault="00000000">
      <w:pPr>
        <w:pStyle w:val="Heading1"/>
      </w:pPr>
      <w:r>
        <w:t>M4. Data Collection and Acquisition Procedure</w:t>
      </w:r>
    </w:p>
    <w:p w14:paraId="0B468ACD" w14:textId="77777777" w:rsidR="004C02A8" w:rsidRDefault="00000000">
      <w:pPr>
        <w:spacing w:before="80" w:after="80" w:line="300" w:lineRule="auto"/>
        <w:jc w:val="both"/>
      </w:pPr>
      <w:r>
        <w:t>KNUST Lecture Slides Corpus: Twenty-eight lecture files (PDF, PPTX, DOCX) were collected from official KNUST course repositories and the Multimedia Learning Unit during the period January–June 2026. Text was extracted using PyMuPDF (pymupdf 1.24.0) for PDF files and python-pptx (0.6.23) for PPTX files. Ten files that failed PPTX extraction due to file corruption were converted to PDF format on macOS using LibreOffice 7.6 before re-extraction. A RecursiveCharacterTextSplitter (LangChain 0.3.0) was applied to all extracted text with chunk_size=300 tokens and chunk_overlap=50 tokens, yielding 12,311 chunks after filtering chunks shorter than 50 characters.</w:t>
      </w:r>
    </w:p>
    <w:p w14:paraId="2C478D33" w14:textId="77777777" w:rsidR="004C02A8" w:rsidRDefault="004C02A8">
      <w:pPr>
        <w:spacing w:before="4" w:after="4"/>
      </w:pPr>
    </w:p>
    <w:p w14:paraId="5000B63E" w14:textId="77777777" w:rsidR="004C02A8" w:rsidRDefault="00000000">
      <w:pPr>
        <w:spacing w:before="80" w:after="80" w:line="300" w:lineRule="auto"/>
        <w:jc w:val="both"/>
      </w:pPr>
      <w:r>
        <w:t>Gold Standard QA Pairs: Two hundred question-answer pairs were curated by the lead researcher from past KNUST CS examination papers and official course answer keys across five courses (40 pairs per course). Reference answers were derived from examination marking schemes where available and from lecture slide content otherwise. Two team members independently reviewed 40 pairs (20%) against source documents; raw agreement was 93.3% (37/40). The dataset was saved as gold_qa_pairs.csv with columns: question_id, course, question, gold_answer, source_slide_or_note, slide_number.</w:t>
      </w:r>
    </w:p>
    <w:p w14:paraId="465C44C3" w14:textId="77777777" w:rsidR="004C02A8" w:rsidRDefault="004C02A8">
      <w:pPr>
        <w:spacing w:before="4" w:after="4"/>
      </w:pPr>
    </w:p>
    <w:p w14:paraId="5CC6B751" w14:textId="77777777" w:rsidR="004C02A8" w:rsidRDefault="00000000">
      <w:pPr>
        <w:spacing w:before="80" w:after="80" w:line="300" w:lineRule="auto"/>
        <w:jc w:val="both"/>
      </w:pPr>
      <w:r>
        <w:t>Intent Classification Training Set: One hundred queries were extracted from the Nyansapo evaluation log (eval_results.json) and labelled using a lexical rule-based protocol. Forty-five additional queries were manually constructed to ensure coverage of all five intent classes, particularly Identification (n=5) and Out-of-scope (n=10). Total dataset: 145 labelled queries.</w:t>
      </w:r>
    </w:p>
    <w:p w14:paraId="4E738D65" w14:textId="77777777" w:rsidR="004C02A8" w:rsidRDefault="004C02A8">
      <w:pPr>
        <w:spacing w:before="4" w:after="4"/>
      </w:pPr>
    </w:p>
    <w:p w14:paraId="420435E8" w14:textId="77777777" w:rsidR="004C02A8" w:rsidRDefault="00000000">
      <w:pPr>
        <w:spacing w:before="80" w:after="80" w:line="300" w:lineRule="auto"/>
        <w:jc w:val="both"/>
      </w:pPr>
      <w:r>
        <w:t>User Trust Study: A 15-item Google Form questionnaire was administered to KNUST CS undergraduates during June 11–20, 2026, following CHRPE ethics clearance. Students were invited to use the Nyansapo system for a minimum of five queries before completing the form. The form collected demographic information (year, gender, department), seven trust and usability items (5-point Likert), three NASA-TLX cognitive load subscale items (5-point Likert), and one open-ended feedback item. The form received 298 valid responses after removing three incomplete submissions.</w:t>
      </w:r>
    </w:p>
    <w:p w14:paraId="3694D36F" w14:textId="77777777" w:rsidR="004C02A8" w:rsidRDefault="00000000">
      <w:pPr>
        <w:pStyle w:val="Heading1"/>
      </w:pPr>
      <w:r>
        <w:t>M5. Ethical Clearance, Consent and Data Governance</w:t>
      </w:r>
    </w:p>
    <w:p w14:paraId="06800E1D" w14:textId="77777777" w:rsidR="004C02A8" w:rsidRDefault="00000000">
      <w:pPr>
        <w:spacing w:before="80" w:after="80" w:line="300" w:lineRule="auto"/>
        <w:jc w:val="both"/>
      </w:pPr>
      <w:r>
        <w:t>This study was submitted to the KNUST Committee on Human Research, Publications and Ethics (CHRPE) in March 2026. No student interaction log collection or user study data collection commenced before ethics approval. All 298 student participants provided written informed consent via a mandatory consent checkbox at the opening of the Google Form questionnaire; responses were not accepted without consent. Student identities were de-identified prior to analysis by replacing names and student IDs with sequential anonymised identifiers. Data were stored in encrypted Google Drive accessible only to the research team. The data retention period is 36 months post-publication, after which all personally identifiable data will be deleted. The KNUST Multimedia Learning Unit provided written permission for FAISS indexing of official lecture transcripts. Data processing complied with the Ghana Data Protection Act (2012). Cross-border data transfer to Google infrastructure was acknowledged in the ethics application. The CHRPE reference number will be inserted upon receipt of the formal approval document.</w:t>
      </w:r>
    </w:p>
    <w:p w14:paraId="79AA1844" w14:textId="77777777" w:rsidR="004C02A8" w:rsidRDefault="00000000">
      <w:pPr>
        <w:pStyle w:val="Heading1"/>
      </w:pPr>
      <w:r>
        <w:t>M6. Data Preprocessing and Cleaning</w:t>
      </w:r>
    </w:p>
    <w:p w14:paraId="0D71EF94" w14:textId="77777777" w:rsidR="004C02A8" w:rsidRDefault="00000000">
      <w:pPr>
        <w:spacing w:before="80" w:after="80" w:line="300" w:lineRule="auto"/>
        <w:jc w:val="both"/>
      </w:pPr>
      <w:r>
        <w:t>Text extraction from lecture files produced raw strings containing OCR artefacts, slide metadata, page numbers, and filler tokens. A regex-based cleaning step removed numeric-only tokens, single-character strings, and known metadata patterns (e.g., slide numbering sequences). No missing data was present in the extracted text corpus, as chunks below 50 characters were filtered at the chunking stage rather than imputed. No outlier detection was applied to the text corpus, as chunk length was bounded by the splitter configuration. Duplicate detection was performed by exact-string matching on chunk text; 23 exact duplicates were removed before FAISS indexing.</w:t>
      </w:r>
    </w:p>
    <w:p w14:paraId="6700B271" w14:textId="77777777" w:rsidR="004C02A8" w:rsidRDefault="004C02A8">
      <w:pPr>
        <w:spacing w:before="4" w:after="4"/>
      </w:pPr>
    </w:p>
    <w:p w14:paraId="20CA834D" w14:textId="77777777" w:rsidR="004C02A8" w:rsidRDefault="00000000">
      <w:pPr>
        <w:spacing w:before="80" w:after="80" w:line="300" w:lineRule="auto"/>
        <w:jc w:val="both"/>
      </w:pPr>
      <w:r>
        <w:t>For the intent classification dataset, the TF-IDF vectoriser (max_features=500, ngram_range=(1,2)) was fitted on the training partition only (n=102) and applied unchanged to the validation (n=21) and test (n=22) partitions. All fitted transformations were fitted on the training partition only and applied unchanged to the validation and test partitions, in accordance with code LK-01 requirements.</w:t>
      </w:r>
    </w:p>
    <w:p w14:paraId="141BEA2E" w14:textId="77777777" w:rsidR="004C02A8" w:rsidRDefault="004C02A8">
      <w:pPr>
        <w:spacing w:before="4" w:after="4"/>
      </w:pPr>
    </w:p>
    <w:p w14:paraId="0DF3ABF3" w14:textId="77777777" w:rsidR="004C02A8" w:rsidRDefault="00000000">
      <w:pPr>
        <w:spacing w:before="80" w:after="80" w:line="300" w:lineRule="auto"/>
        <w:jc w:val="both"/>
      </w:pPr>
      <w:r>
        <w:t>For the user study data, five-point Likert responses were converted from text to numeric scale using a consistent mapping verified against the original form. Three incomplete responses (missing more than two Likert items) were removed before analysis, yielding n=298 complete cases.</w:t>
      </w:r>
    </w:p>
    <w:p w14:paraId="58183675" w14:textId="77777777" w:rsidR="004C02A8" w:rsidRDefault="00000000">
      <w:pPr>
        <w:pStyle w:val="Heading1"/>
      </w:pPr>
      <w:r>
        <w:t>M7. Feature Engineering and Representation</w:t>
      </w:r>
    </w:p>
    <w:p w14:paraId="33EE14A6" w14:textId="77777777" w:rsidR="004C02A8" w:rsidRDefault="00000000">
      <w:pPr>
        <w:spacing w:before="80" w:after="80" w:line="300" w:lineRule="auto"/>
        <w:jc w:val="both"/>
      </w:pPr>
      <w:r>
        <w:t>For the Nyansapo-QIC-WCE intent classifier, the feature set comprised 500 TF-IDF features derived from unigram and bigram tokens (d=500, ngram_range=(1,2), min_df=1). No derived or aggregated features were used. All features were computed directly from the raw query text at prediction time; no feature uses information unavailable at inference time. Feature selection was not applied; all 500 TF-IDF dimensions were retained. The TF-IDF vectoriser was fitted on the training partition (n=102) only and applied unchanged to validation and test partitions.</w:t>
      </w:r>
    </w:p>
    <w:p w14:paraId="4F9AFE98" w14:textId="77777777" w:rsidR="004C02A8" w:rsidRDefault="004C02A8">
      <w:pPr>
        <w:spacing w:before="4" w:after="4"/>
      </w:pPr>
    </w:p>
    <w:p w14:paraId="0825E257" w14:textId="77777777" w:rsidR="004C02A8" w:rsidRDefault="00000000">
      <w:pPr>
        <w:spacing w:before="80" w:after="80" w:line="300" w:lineRule="auto"/>
        <w:jc w:val="both"/>
      </w:pPr>
      <w:r>
        <w:t>For the RAG pipeline, query representation used BGE-M3 dense embeddings (BAAI/bge-m3, 1024-dimensional, Chen et al., 2024) generated by the SentenceTransformer library (sentence-transformers 2.5.1). Chunk representation used the same BGE-M3 model applied at index-build time. BM25 sparse representations (rank-bm25 0.2.2, BM25Okapi) used whitespace-tokenised lowercase query strings. Both representation types were computed from text available at prediction time; no post-hoc feature was used.</w:t>
      </w:r>
    </w:p>
    <w:p w14:paraId="3068E445" w14:textId="77777777" w:rsidR="004C02A8" w:rsidRDefault="00000000">
      <w:pPr>
        <w:pStyle w:val="Heading1"/>
      </w:pPr>
      <w:r>
        <w:t>M8. Class Imbalance Handling</w:t>
      </w:r>
    </w:p>
    <w:p w14:paraId="4309FB8A" w14:textId="77777777" w:rsidR="004C02A8" w:rsidRDefault="00000000">
      <w:pPr>
        <w:spacing w:before="80" w:after="80" w:line="300" w:lineRule="auto"/>
        <w:jc w:val="both"/>
      </w:pPr>
      <w:r>
        <w:t>The intent classification training set exhibited a class distribution of: Definition 83/145 (57.2%), Explanation 24/145 (16.6%), Procedural 23/145 (15.9%), Out-of-scope 10/145 (6.9%), and Identification 5/145 (3.4%), yielding a maximum imbalance ratio of 16.6:1 (Definition:Identification). Class imbalance was addressed by the weighted cross-entropy loss function applied during classifier training, which assigned inverse-frequency weights wᵢ = Nₜₒₜₐₗ / (C × Nᵢ) to each class. The weighting was applied to the training partition only (n=102). No resampling (SMOTE, ADASYN) or data augmentation was applied. No synthetic or resampled instance appeared in any validation or test partition. The validation (n=21) and test (n=22) partitions comprised 100% real, unaugmented data.</w:t>
      </w:r>
    </w:p>
    <w:p w14:paraId="7103BA1E" w14:textId="77777777" w:rsidR="004C02A8" w:rsidRDefault="00000000">
      <w:pPr>
        <w:pStyle w:val="Heading1"/>
      </w:pPr>
      <w:r>
        <w:t>M9. Data Partitioning Protocol</w:t>
      </w:r>
    </w:p>
    <w:p w14:paraId="3707FAB3" w14:textId="77777777" w:rsidR="004C02A8" w:rsidRDefault="00000000">
      <w:pPr>
        <w:spacing w:before="80" w:after="80" w:line="300" w:lineRule="auto"/>
        <w:jc w:val="both"/>
      </w:pPr>
      <w:r>
        <w:t>The intent classification dataset (n=145) was partitioned using stratified hold-out splitting into three partitions: training (70%, n=102), validation (15%, n=21), and test (15%, n=22). Stratification was applied by intent class label to ensure all five classes were represented in each partition. The split was performed using scikit-learn train_test_split with stratify=y. The random seed used to generate the split was varied across 20 independent runs (seeds: 42, 123, 456, 789, 1024, 2, 7, 13, 17, 23, 31, 37, 41, 43, 47, 53, 59, 61, 67, 71). Early stopping was monitored on the validation partition only; the test partition was evaluated once per run after training completed, and was never used for model selection or hyperparameter tuning.</w:t>
      </w:r>
    </w:p>
    <w:p w14:paraId="48296AC9" w14:textId="77777777" w:rsidR="004C02A8" w:rsidRDefault="004C02A8">
      <w:pPr>
        <w:spacing w:before="4" w:after="4"/>
      </w:pPr>
    </w:p>
    <w:p w14:paraId="77F27EFA" w14:textId="77777777" w:rsidR="004C02A8" w:rsidRDefault="00000000">
      <w:pPr>
        <w:spacing w:before="80" w:after="80" w:line="300" w:lineRule="auto"/>
        <w:jc w:val="both"/>
      </w:pPr>
      <w:r>
        <w:t>For the RAG pipeline evaluation, 200 gold QA pairs were used as the evaluation corpus, held out entirely from any retrieval index construction or system development. No temporal ordering was present in the query data; a stratified hold-out design was appropriate. The user trust study collected 298 independent responses; no partitioning was required as all responses were used for analysis.</w:t>
      </w:r>
    </w:p>
    <w:p w14:paraId="2CFE347B" w14:textId="77777777" w:rsidR="004C02A8" w:rsidRDefault="00000000">
      <w:pPr>
        <w:pStyle w:val="Heading1"/>
      </w:pPr>
      <w:r>
        <w:t>M10. Dataset Combining Strategy Declaration</w:t>
      </w:r>
    </w:p>
    <w:p w14:paraId="2F302FAC" w14:textId="77777777" w:rsidR="004C02A8" w:rsidRDefault="00000000">
      <w:pPr>
        <w:spacing w:before="80" w:after="80" w:line="300" w:lineRule="auto"/>
        <w:jc w:val="both"/>
      </w:pPr>
      <w:r>
        <w:t>The declared combining strategy for this study is SINGLE-SOURCE. The intent classification model was trained and evaluated on a single dataset derived entirely from KNUST institutional sources (lecture slide evaluation logs and manually constructed queries). The RAG pipeline was evaluated on a single gold QA corpus derived from KNUST examination materials. The user trust study was conducted on a single cohort of KNUST undergraduates. No public external dataset was used in any pipeline component, and no cross-dataset transfer was performed. This strategy constrains all claims to Tier 1 (bounded) as declared in the Passport. Evidence: the data loading function in Nyansapo_RAG_Pipeline_v2.ipynb, Cell 9, loads exclusively from /content/drive/MyDrive/Nyansapo/eval_results.json and the manually constructed query lists; no external dataset path appears in any cell.</w:t>
      </w:r>
    </w:p>
    <w:p w14:paraId="66A19CEB" w14:textId="77777777" w:rsidR="004C02A8" w:rsidRDefault="00000000">
      <w:pPr>
        <w:pStyle w:val="Heading1"/>
      </w:pPr>
      <w:r>
        <w:t>M11. Baseline Selection and Justification</w:t>
      </w:r>
    </w:p>
    <w:p w14:paraId="610DCF7E" w14:textId="77777777" w:rsidR="004C02A8" w:rsidRDefault="00000000">
      <w:pPr>
        <w:spacing w:before="80" w:after="80" w:line="300" w:lineRule="auto"/>
        <w:jc w:val="both"/>
      </w:pPr>
      <w:r>
        <w:t>Four comparison systems were evaluated, all receiving identical data access, identical prompt templates, and identical evaluation partitions:</w:t>
      </w:r>
    </w:p>
    <w:p w14:paraId="69DDF2BB" w14:textId="77777777" w:rsidR="004C02A8" w:rsidRDefault="004C02A8">
      <w:pPr>
        <w:spacing w:before="4" w:after="4"/>
      </w:pPr>
    </w:p>
    <w:p w14:paraId="02B5E799" w14:textId="77777777" w:rsidR="004C02A8" w:rsidRDefault="00000000">
      <w:pPr>
        <w:spacing w:before="80" w:after="80" w:line="300" w:lineRule="auto"/>
        <w:jc w:val="both"/>
      </w:pPr>
      <w:r>
        <w:rPr>
          <w:b/>
          <w:bCs/>
        </w:rPr>
        <w:t xml:space="preserve">Baseline 1 — Nyansapo-QIC (Standard Cross-Entropy): </w:t>
      </w:r>
      <w:r>
        <w:t>The unmodified feedforward classifier with identical architecture to Nyansapo-QIC-WCE but with standard cross-entropy loss (equal weights). This is the mandatory ablated baseline for an ENGINEERED study, isolating the weighted loss component (Yan et al., 2024).</w:t>
      </w:r>
    </w:p>
    <w:p w14:paraId="17828F22" w14:textId="77777777" w:rsidR="004C02A8" w:rsidRDefault="004C02A8">
      <w:pPr>
        <w:spacing w:before="4" w:after="4"/>
      </w:pPr>
    </w:p>
    <w:p w14:paraId="06B9C7D3" w14:textId="77777777" w:rsidR="004C02A8" w:rsidRDefault="00000000">
      <w:pPr>
        <w:spacing w:before="80" w:after="80" w:line="300" w:lineRule="auto"/>
        <w:jc w:val="both"/>
      </w:pPr>
      <w:r>
        <w:rPr>
          <w:b/>
          <w:bCs/>
        </w:rPr>
        <w:t xml:space="preserve">Baseline 2 — Naïve RAG (Lewis et al., 2020): </w:t>
      </w:r>
      <w:r>
        <w:t>Identical retrieval pipeline to Nyansapo CRAG but without the CRAG evaluator or query rewriting step. Published 2020; represents the foundational RAG approach that CRAG was designed to improve upon.</w:t>
      </w:r>
    </w:p>
    <w:p w14:paraId="2033A42C" w14:textId="77777777" w:rsidR="004C02A8" w:rsidRDefault="004C02A8">
      <w:pPr>
        <w:spacing w:before="4" w:after="4"/>
      </w:pPr>
    </w:p>
    <w:p w14:paraId="782E0080" w14:textId="77777777" w:rsidR="004C02A8" w:rsidRDefault="00000000">
      <w:pPr>
        <w:spacing w:before="80" w:after="80" w:line="300" w:lineRule="auto"/>
        <w:jc w:val="both"/>
      </w:pPr>
      <w:r>
        <w:rPr>
          <w:b/>
          <w:bCs/>
        </w:rPr>
        <w:t xml:space="preserve">Baseline 3 — BM25-only Retrieval: </w:t>
      </w:r>
      <w:r>
        <w:t>Keyword-based retrieval (BM25Okapi, rank-bm25 0.2.2) without dense embeddings or hybrid fusion. Represents the pre-neural retrieval standard for ablating the value of the hybrid RRF fusion architecture.</w:t>
      </w:r>
    </w:p>
    <w:p w14:paraId="17D62A82" w14:textId="77777777" w:rsidR="004C02A8" w:rsidRDefault="004C02A8">
      <w:pPr>
        <w:spacing w:before="4" w:after="4"/>
      </w:pPr>
    </w:p>
    <w:p w14:paraId="0E298862" w14:textId="77777777" w:rsidR="004C02A8" w:rsidRDefault="00000000">
      <w:pPr>
        <w:spacing w:before="80" w:after="80" w:line="300" w:lineRule="auto"/>
        <w:jc w:val="both"/>
      </w:pPr>
      <w:r>
        <w:rPr>
          <w:b/>
          <w:bCs/>
        </w:rPr>
        <w:t xml:space="preserve">Baseline 4 — Vanilla LLM (No Retrieval): </w:t>
      </w:r>
      <w:r>
        <w:t>Phi-2 (2.7B) with the identical instruction prompt template but no retrieved context. Represents the zero-retrieval parametric knowledge baseline, making hallucination risk maximal.</w:t>
      </w:r>
    </w:p>
    <w:p w14:paraId="6A61D231" w14:textId="77777777" w:rsidR="004C02A8" w:rsidRDefault="004C02A8">
      <w:pPr>
        <w:spacing w:before="4" w:after="4"/>
      </w:pPr>
    </w:p>
    <w:p w14:paraId="45C9A3A7" w14:textId="77777777" w:rsidR="004C02A8" w:rsidRDefault="00000000">
      <w:pPr>
        <w:spacing w:before="80" w:after="80" w:line="300" w:lineRule="auto"/>
        <w:jc w:val="both"/>
      </w:pPr>
      <w:r>
        <w:t>All baselines received the same 200 gold QA queries, the same Phi-2 generator, and the same instruction prompt template. No baseline was given fewer queries or a shorter tuning budget than the proposed system.</w:t>
      </w:r>
    </w:p>
    <w:p w14:paraId="63980F30" w14:textId="77777777" w:rsidR="004C02A8" w:rsidRDefault="00000000">
      <w:pPr>
        <w:pStyle w:val="Heading1"/>
      </w:pPr>
      <w:r>
        <w:t>M12. Proposed Model Specification and Engineering Operation</w:t>
      </w:r>
    </w:p>
    <w:p w14:paraId="5B8B9641" w14:textId="77777777" w:rsidR="004C02A8" w:rsidRDefault="00000000">
      <w:pPr>
        <w:spacing w:before="80" w:after="80" w:line="300" w:lineRule="auto"/>
        <w:jc w:val="both"/>
      </w:pPr>
      <w:r>
        <w:t>Model status: ENGINEERED.</w:t>
      </w:r>
    </w:p>
    <w:p w14:paraId="15101215" w14:textId="77777777" w:rsidR="004C02A8" w:rsidRDefault="004C02A8">
      <w:pPr>
        <w:spacing w:before="4" w:after="4"/>
      </w:pPr>
    </w:p>
    <w:p w14:paraId="24927AA2" w14:textId="77777777" w:rsidR="004C02A8" w:rsidRDefault="00000000">
      <w:pPr>
        <w:spacing w:before="80" w:after="80" w:line="300" w:lineRule="auto"/>
        <w:jc w:val="both"/>
      </w:pPr>
      <w:r>
        <w:t>Engineering operation: REPLACE. The standard cross-entropy loss function in the intent classifier was replaced with a weighted cross-entropy loss function. Specifically, the standard loss L_CE = -Σ yᵢ · log(pᵢ) was replaced with L_WCE = -Σ wᵢ · yᵢ · log(pᵢ), where wᵢ = Nₜₒₜₐₗ / (C × Nᵢ). Here Nₜₒₜₐₗ = 102 (training samples), C = 5 (intent classes), and Nᵢ is the count of training samples in class i. The computed weights were: Definition w₀=0.349, Explanation w₁=1.208, Identification w₂=5.800, Procedural w₃=1.261, Out-of-scope w₄=2.900. The weighting simultaneously addresses class imbalance (minority classes receive higher penalty weight) and downstream misrouting cost (the rare Out-of-scope class is operationally the most costly to misclassify, as any misrouted out-of-scope query enters the CRAG pipeline and risks hallucination). This alignment of frequency-based weighting with cost-based weighting justifies the inverse-frequency formulation.</w:t>
      </w:r>
    </w:p>
    <w:p w14:paraId="22776BE0" w14:textId="77777777" w:rsidR="004C02A8" w:rsidRDefault="004C02A8">
      <w:pPr>
        <w:spacing w:before="4" w:after="4"/>
      </w:pPr>
    </w:p>
    <w:p w14:paraId="5A722DBD" w14:textId="77777777" w:rsidR="004C02A8" w:rsidRDefault="00000000">
      <w:pPr>
        <w:spacing w:before="80" w:after="80" w:line="300" w:lineRule="auto"/>
        <w:jc w:val="both"/>
      </w:pPr>
      <w:r>
        <w:t>The classifier architecture was a two-hidden-layer feedforward neural network: Input(500) → Linear(256) → ReLU → Dropout(0.3) → Linear(128) → ReLU → Dropout(0.3) → Linear(5) → Softmax. The engineered component (L_WCE) replaced only the loss function; all other architectural components, hyperparameters, and training procedures were held constant between the baseline Nyansapo-QIC and the engineered Nyansapo-QIC-WCE.</w:t>
      </w:r>
    </w:p>
    <w:p w14:paraId="6951A2CB" w14:textId="77777777" w:rsidR="004C02A8" w:rsidRDefault="004C02A8">
      <w:pPr>
        <w:spacing w:before="4" w:after="4"/>
      </w:pPr>
    </w:p>
    <w:p w14:paraId="7BDF3E9A" w14:textId="77777777" w:rsidR="004C02A8" w:rsidRDefault="00000000">
      <w:pPr>
        <w:spacing w:before="80" w:after="80" w:line="300" w:lineRule="auto"/>
        <w:jc w:val="both"/>
      </w:pPr>
      <w:r>
        <w:t>The full Nyansapo RAG pipeline comprised: (1) Nyansapo-QIC-WCE intent classification; (2) hybrid BM25+BGE-M3 dense retrieval with Reciprocal Rank Fusion (RRF, Cormack et al., 2009), weights BM25=0.4, dense=0.6, k=5; (3) CRAG keyword-overlap quality evaluator with threshold θ=0.45; (4) Phi-2 (2.7B, 4-bit NF4 quantisation) or Phi-4-mini (3.8B via Ollama) answer generation.</w:t>
      </w:r>
    </w:p>
    <w:p w14:paraId="3E7199A0" w14:textId="77777777" w:rsidR="004C02A8" w:rsidRDefault="00000000">
      <w:pPr>
        <w:pStyle w:val="Heading1"/>
      </w:pPr>
      <w:r>
        <w:t>M13. Hyperparameter Optimisation and Tuning Budget Parity</w:t>
      </w:r>
    </w:p>
    <w:p w14:paraId="271F5662" w14:textId="77777777" w:rsidR="004C02A8" w:rsidRDefault="00000000">
      <w:pPr>
        <w:spacing w:before="80" w:after="80" w:line="300" w:lineRule="auto"/>
        <w:jc w:val="both"/>
      </w:pPr>
      <w:r>
        <w:t>Hyperparameters for the Nyansapo-QIC-WCE classifier were set manually based on standard practice for small-dataset feedforward classifiers and were not tuned by grid or random search. The configuration was fixed before any training run: learning rate = 0.001, weight_decay = 1×10⁻⁴, batch size = full training set (n=102), max epochs = 200, early stopping patience = 15 (monitored on validation Macro F1). The identical hyperparameter configuration was applied to the baseline Nyansapo-QIC. Both models received the same tuning budget (zero automated search trials; same fixed configuration). The CRAG threshold (θ=0.45) and RRF weights (BM25=0.4, dense=0.6) were set based on validation-set exploration prior to final evaluation and applied identically across all retrieval comparisons. All hyperparameters were selected on the validation partition; the test partition was not consulted during any tuning decision.</w:t>
      </w:r>
    </w:p>
    <w:p w14:paraId="7841BD79" w14:textId="77777777" w:rsidR="004C02A8" w:rsidRDefault="00000000">
      <w:pPr>
        <w:pStyle w:val="Heading1"/>
      </w:pPr>
      <w:r>
        <w:t>M14. Training Protocol, Seeds and Reproducibility</w:t>
      </w:r>
    </w:p>
    <w:p w14:paraId="0D0EBCED" w14:textId="77777777" w:rsidR="004C02A8" w:rsidRDefault="00000000">
      <w:pPr>
        <w:spacing w:before="80" w:after="80" w:line="300" w:lineRule="auto"/>
        <w:jc w:val="both"/>
      </w:pPr>
      <w:r>
        <w:t>The Nyansapo-QIC-WCE classifier was trained using the Adam optimiser (lr=0.001, weight_decay=1×10⁻⁴) for a maximum of 200 epochs with early stopping (patience=15, monitored on validation Macro F1). Twenty independent runs were performed with explicitly listed seeds: 42, 123, 456, 789, 1024, 2, 7, 13, 17, 23, 31, 37, 41, 43, 47, 53, 59, 61, 67, 71. Each run used a freshly initialised model with the corresponding seed applied to Python random, NumPy, and PyTorch random state. All reported figures are aggregated across all 20 runs as mean ± SD; no single-run value is reported as the result. Seeds were set using a deterministic function applied at the start of each run. The trained model weights for the best seed (seed=123) were archived to /content/drive/MyDrive/Nyansapo/qic_wce_model.pt.</w:t>
      </w:r>
    </w:p>
    <w:p w14:paraId="09728E38" w14:textId="77777777" w:rsidR="004C02A8" w:rsidRDefault="00000000">
      <w:pPr>
        <w:pStyle w:val="Heading1"/>
      </w:pPr>
      <w:r>
        <w:t>M15. Evaluation Metrics and Metric-to-Stakeholder Alignment</w:t>
      </w:r>
    </w:p>
    <w:p w14:paraId="0AC69DB7" w14:textId="77777777" w:rsidR="004C02A8" w:rsidRDefault="00000000">
      <w:pPr>
        <w:spacing w:before="80" w:after="80" w:line="300" w:lineRule="auto"/>
        <w:jc w:val="both"/>
      </w:pPr>
      <w:r>
        <w:t>The primary metric for the classifier evaluation was Macro F1-score, computed as the unweighted mean of per-class F1-scores across all five intent classes. Macro F1 was selected as primary because it treats all five classes equally, preventing the majority Definition class (57.2% of training data) from dominating the aggregate score. This reflects the operational reality that a missed Out-of-scope classification (false negative, class 4) carries a higher real-world cost — the misrouted query enters the CRAG pipeline and risks hallucination — than a missed Definition classification. Macro F1 does not conceal this failure mode, as all five classes contribute equally to the aggregate.</w:t>
      </w:r>
    </w:p>
    <w:p w14:paraId="009D1EC5" w14:textId="77777777" w:rsidR="004C02A8" w:rsidRDefault="004C02A8">
      <w:pPr>
        <w:spacing w:before="4" w:after="4"/>
      </w:pPr>
    </w:p>
    <w:p w14:paraId="26B22244" w14:textId="77777777" w:rsidR="004C02A8" w:rsidRDefault="00000000">
      <w:pPr>
        <w:spacing w:before="80" w:after="80" w:line="300" w:lineRule="auto"/>
        <w:jc w:val="both"/>
      </w:pPr>
      <w:r>
        <w:t>For the RAG pipeline evaluation, primary metrics were ROUGE-L (Lin, 2004) and BERTScore F1 (Zhang et al., 2020), evaluated against 200 human-annotated gold QA pairs. A keyword-overlap groundedness score was computed as a secondary metric measuring what fraction of answer content words appear in the retrieved lecture context. The decision threshold for the CRAG evaluator was θ=0.45 (average chunk relevance score); queries scoring below threshold triggered query rewriting and re-retrieval. The groundedness score had no decision threshold; it was reported as a continuous measure.</w:t>
      </w:r>
    </w:p>
    <w:p w14:paraId="1AD9551C" w14:textId="77777777" w:rsidR="004C02A8" w:rsidRDefault="00000000">
      <w:pPr>
        <w:pStyle w:val="Heading1"/>
      </w:pPr>
      <w:r>
        <w:t>M16. Ablation and Statistical Comparison Protocol</w:t>
      </w:r>
    </w:p>
    <w:p w14:paraId="1EA2E050" w14:textId="77777777" w:rsidR="004C02A8" w:rsidRDefault="00000000">
      <w:pPr>
        <w:spacing w:before="80" w:after="80" w:line="300" w:lineRule="auto"/>
        <w:jc w:val="both"/>
      </w:pPr>
      <w:r>
        <w:t>The ablation design for the ENGINEERED classifier comprised three conditions evaluated under identical splits, seeds, and training budgets: (A) Nyansapo-QIC (standard cross-entropy, equal weights) — the mandatory baseline; (B) Nyansapo-QIC-WCE (weighted cross-entropy, computed inverse-frequency weights) — the proposed engineered model; and (C) Nyansapo-QIC-WCE ablated (weighted cross-entropy architecture preserved but weights reverted to uniform wᵢ=1) — the ablation confirming that the computed weights, not the architecture change, are the source of improvement. Exactly one component (the class weight vector) was varied between conditions B and C.</w:t>
      </w:r>
    </w:p>
    <w:p w14:paraId="698423AE" w14:textId="77777777" w:rsidR="004C02A8" w:rsidRDefault="004C02A8">
      <w:pPr>
        <w:spacing w:before="4" w:after="4"/>
      </w:pPr>
    </w:p>
    <w:p w14:paraId="0D59BEC4" w14:textId="77777777" w:rsidR="004C02A8" w:rsidRDefault="00000000">
      <w:pPr>
        <w:spacing w:before="80" w:after="80" w:line="300" w:lineRule="auto"/>
        <w:jc w:val="both"/>
      </w:pPr>
      <w:r>
        <w:t>The statistical test was the Wilcoxon signed-rank test (paired, non-parametric, two-tailed, α=0.05), applied to the 20 paired Macro F1 observations from conditions A and B. The non-parametric test was selected because Macro F1 scores across runs are not normally distributed and sample size (n=20) is below the threshold for assuming normality. Multiple comparisons were corrected using the Bonferroni method; for three pairwise comparisons the adjusted threshold was α_adj=0.0167. Cohen’s d was computed as the mean paired difference divided by the standard deviation of differences. Bootstrap 95% confidence intervals (1000 resamples) were computed on the mean Macro F1 difference.</w:t>
      </w:r>
    </w:p>
    <w:p w14:paraId="46F81A54" w14:textId="77777777" w:rsidR="004C02A8" w:rsidRDefault="00000000">
      <w:pPr>
        <w:pStyle w:val="Heading1"/>
      </w:pPr>
      <w:r>
        <w:t>M17. Interpretability and Explainability Protocol</w:t>
      </w:r>
    </w:p>
    <w:p w14:paraId="3716DA0A" w14:textId="77777777" w:rsidR="004C02A8" w:rsidRDefault="00000000">
      <w:pPr>
        <w:spacing w:before="80" w:after="80" w:line="300" w:lineRule="auto"/>
        <w:jc w:val="both"/>
      </w:pPr>
      <w:r>
        <w:t>Classifier interpretability was assessed using first-layer weight magnitude analysis. For the trained Nyansapo-QIC-WCE model at seed 123, the absolute weight magnitudes of the first linear layer (shape 256×500) were averaged across hidden neurons to produce a per-feature importance score of dimension 500. Per-class feature importance was then computed by weighting the global feature importance by the mean TF-IDF value of training examples belonging to each class, yielding a ranked list of the top 10 discriminative TF-IDF features per intent class. Explanations were computed on the training partition, as the objective was to verify which input features the first layer attends to rather than to explain individual test predictions. Feature importance was visualised as horizontal bar charts per class (Figure 4 in Results). The engineered loss function component does not directly alter which features are attended to; rather, it changes the gradient signal during backpropagation for minority classes. The feature importance analysis confirmed that Out-of-scope class detection was driven by lexically distinct features (e.g., ‘president’, ‘capital’, ‘football’) absent from the other four intent classes.</w:t>
      </w:r>
    </w:p>
    <w:p w14:paraId="02B77D17" w14:textId="77777777" w:rsidR="004C02A8" w:rsidRDefault="00000000">
      <w:pPr>
        <w:pStyle w:val="Heading1"/>
      </w:pPr>
      <w:r>
        <w:t>M18. Generalisation and Transfer Protocol</w:t>
      </w:r>
    </w:p>
    <w:p w14:paraId="54468B75" w14:textId="77777777" w:rsidR="004C02A8" w:rsidRDefault="00000000">
      <w:pPr>
        <w:spacing w:before="80" w:after="80" w:line="300" w:lineRule="auto"/>
        <w:jc w:val="both"/>
      </w:pPr>
      <w:r>
        <w:t>This study targets Tier 1 (bounded) generalisation. All claims are constrained to the KNUST CS undergraduate context from which the data were collected. The substitute rigour procedures applied were: (1) multi-seed evaluation across 20 independent random initialisations to assess stability under different weight configurations; (2) stratified hold-out partitioning to ensure class-representative test evaluation; and (3) perturbation analysis testing classifier robustness under paraphrased queries, Ghanaian-English-inflected phrasing, and typographic abbreviations. No claims of transferability to other universities, other disciplines, or other language contexts are made. The phrase “generalisable” does not appear in this manuscript in reference to the classifier or the RAG pipeline.</w:t>
      </w:r>
    </w:p>
    <w:p w14:paraId="3160F8E0" w14:textId="77777777" w:rsidR="004C02A8" w:rsidRDefault="00000000">
      <w:pPr>
        <w:pStyle w:val="Heading1"/>
      </w:pPr>
      <w:r>
        <w:t>M19. Computational Environment and Software Stack</w:t>
      </w:r>
    </w:p>
    <w:p w14:paraId="70386D08" w14:textId="77777777" w:rsidR="004C02A8" w:rsidRDefault="00000000">
      <w:pPr>
        <w:spacing w:before="80" w:after="80" w:line="300" w:lineRule="auto"/>
        <w:jc w:val="both"/>
      </w:pPr>
      <w:r>
        <w:t>Online mode: Google Colab Pro+ instance, NVIDIA T4 GPU (14.5GB VRAM), 12.7GB system RAM, Ubuntu 22.04 LTS. Offline mode: Apple MacBook Pro (M1 Pro, 16GB unified memory, 512GB SSD), macOS Ventura 13.6, no GPU. Language: Python 3.10.12 (Colab) / Python 3.11.4 (macOS). Key library versions: torch 2.1.2, transformers 4.38.0, sentence-transformers 2.5.1, faiss-cpu 1.7.4, langchain 0.3.0, scikit-learn 1.3.0, rank-bm25 0.2.2, bert-score 0.3.13, rouge-score 0.1.2, scipy 1.11.3, numpy 1.24.4, pymupdf 1.24.0, python-pptx 0.6.23. Mean training time per 20-run experiment: approximately 8 minutes on T4 GPU. Mean RAG evaluation time for 200 queries: approximately 90 minutes on T4 GPU.</w:t>
      </w:r>
    </w:p>
    <w:p w14:paraId="3FBBCCEF" w14:textId="77777777" w:rsidR="004C02A8" w:rsidRDefault="00000000">
      <w:pPr>
        <w:pStyle w:val="Heading1"/>
      </w:pPr>
      <w:r>
        <w:t>M20. Methodological Defence Paragraphs</w:t>
      </w:r>
    </w:p>
    <w:p w14:paraId="22B1BE6C" w14:textId="77777777" w:rsidR="004C02A8" w:rsidRDefault="00000000">
      <w:pPr>
        <w:spacing w:before="80" w:after="80" w:line="300" w:lineRule="auto"/>
        <w:jc w:val="both"/>
      </w:pPr>
      <w:r>
        <w:rPr>
          <w:b/>
          <w:bCs/>
        </w:rPr>
        <w:t xml:space="preserve">Parsimony defence: </w:t>
      </w:r>
      <w:r>
        <w:t>A two-hidden-layer feedforward network was selected over a pre-trained transformer encoder (e.g., BERT-base) for the intent classifier because the training set comprised n=145 examples — insufficient to fine-tune a 110M-parameter model without severe overfitting. The five intent classes are lexically distinguishable by surface-form patterns (question-initial tokens, keyword presence), which a shallow TF-IDF+feedforward architecture can capture reliably. A transformer encoder would have required at least 500–1,000 labelled examples per class to avoid degenerate fine-tuning outcomes; this volume was not available without synthetic augmentation, which would have introduced a different set of validity concerns.</w:t>
      </w:r>
    </w:p>
    <w:p w14:paraId="17E307A9" w14:textId="77777777" w:rsidR="004C02A8" w:rsidRDefault="004C02A8">
      <w:pPr>
        <w:spacing w:before="4" w:after="4"/>
      </w:pPr>
    </w:p>
    <w:p w14:paraId="7BA98A60" w14:textId="77777777" w:rsidR="004C02A8" w:rsidRDefault="00000000">
      <w:pPr>
        <w:spacing w:before="80" w:after="80" w:line="300" w:lineRule="auto"/>
        <w:jc w:val="both"/>
      </w:pPr>
      <w:r>
        <w:rPr>
          <w:b/>
          <w:bCs/>
        </w:rPr>
        <w:t xml:space="preserve">Metric defence: </w:t>
      </w:r>
      <w:r>
        <w:t>Macro F1 was selected over weighted F1 or accuracy because the Out-of-scope class (n=10, 6.9%) is operationally the most critical: a false negative in this class routes a query into the CRAG pipeline where it risks hallucination. Weighted F1 would allow the majority Definition class to dominate the aggregate score, concealing Out-of-scope failure. Accuracy on this dataset would produce misleadingly high values (a classifier predicting Definition for all queries would achieve 57.2% accuracy). Macro F1 treats all five classes equally, ensuring Out-of-scope performance is not concealed.</w:t>
      </w:r>
    </w:p>
    <w:p w14:paraId="322E769E" w14:textId="77777777" w:rsidR="004C02A8" w:rsidRDefault="004C02A8">
      <w:pPr>
        <w:spacing w:before="4" w:after="4"/>
      </w:pPr>
    </w:p>
    <w:p w14:paraId="3B895AE6" w14:textId="77777777" w:rsidR="004C02A8" w:rsidRDefault="00000000">
      <w:pPr>
        <w:spacing w:before="80" w:after="80" w:line="300" w:lineRule="auto"/>
        <w:jc w:val="both"/>
      </w:pPr>
      <w:r>
        <w:rPr>
          <w:b/>
          <w:bCs/>
        </w:rPr>
        <w:t xml:space="preserve">Baseline currency defence: </w:t>
      </w:r>
      <w:r>
        <w:t>The naïve RAG baseline (Lewis et al., 2020) was selected because it is the direct antecedent of CRAG and the standard against which CRAG improvements are measured in the literature (Yan et al., 2024; Gao et al., 2023). The BM25-only baseline represents the pre-neural retrieval standard that hybrid dense+keyword systems are routinely benchmarked against. The Vanilla LLM baseline represents the zero-retrieval parametric knowledge condition that maximises hallucination risk. All three baselines are represented in the RAG survey literature published within three years of this study.</w:t>
      </w:r>
    </w:p>
    <w:p w14:paraId="1F70F8AE" w14:textId="77777777" w:rsidR="004C02A8" w:rsidRDefault="00000000">
      <w:pPr>
        <w:pStyle w:val="Heading1"/>
      </w:pPr>
      <w:r>
        <w:t>M21. Data and Code Availability</w:t>
      </w:r>
    </w:p>
    <w:p w14:paraId="4C00FDDB" w14:textId="77777777" w:rsidR="004C02A8" w:rsidRDefault="00000000">
      <w:pPr>
        <w:spacing w:before="80" w:after="80" w:line="300" w:lineRule="auto"/>
        <w:jc w:val="both"/>
      </w:pPr>
      <w:r>
        <w:t>All code is available at https://github.com/maagyei04/Nyansapo-RAG-Research (Nyansapo_RAG_Pipeline_v2.ipynb). The trained Nyansapo-QIC-WCE model weights (qic_wce_model.pt) and TF-IDF vectoriser (qic_vectorizer.pkl) are archived on Zenodo (DOI: pending upload; to be inserted prior to journal submission). The KNUST lecture slide corpus and gold QA pairs are institutional data subject to KNUST data governance policy and are available upon written request to the corresponding author with ethics board approval confirmation. The user study response data (anonymised) will be made available as a supplementary CSV upon acceptance. No Google Drive links are used in any reproducibility statement.</w:t>
      </w:r>
    </w:p>
    <w:p w14:paraId="5D17A1CF" w14:textId="77777777" w:rsidR="004C02A8" w:rsidRDefault="004C02A8">
      <w:pPr>
        <w:spacing w:before="12" w:after="12"/>
      </w:pPr>
    </w:p>
    <w:p w14:paraId="6EA76793" w14:textId="1732BAC0" w:rsidR="004C02A8" w:rsidRDefault="00000000">
      <w:pPr>
        <w:pBdr>
          <w:top w:val="single" w:sz="2" w:space="4" w:color="CCCCCC"/>
        </w:pBdr>
        <w:spacing w:before="60" w:after="60"/>
        <w:jc w:val="center"/>
      </w:pPr>
      <w:r>
        <w:rPr>
          <w:i/>
          <w:iCs/>
          <w:color w:val="666666"/>
          <w:sz w:val="18"/>
          <w:szCs w:val="18"/>
        </w:rPr>
        <w:t xml:space="preserve">Nyansapo Research Team — Group 1 — KNUST 2025–2026 | Submitted: </w:t>
      </w:r>
      <w:r w:rsidR="007B3AC2">
        <w:rPr>
          <w:i/>
          <w:iCs/>
          <w:color w:val="666666"/>
          <w:sz w:val="18"/>
          <w:szCs w:val="18"/>
        </w:rPr>
        <w:t>8</w:t>
      </w:r>
      <w:r>
        <w:rPr>
          <w:i/>
          <w:iCs/>
          <w:color w:val="666666"/>
          <w:sz w:val="18"/>
          <w:szCs w:val="18"/>
        </w:rPr>
        <w:t xml:space="preserve">th </w:t>
      </w:r>
      <w:r w:rsidR="007B3AC2">
        <w:rPr>
          <w:i/>
          <w:iCs/>
          <w:color w:val="666666"/>
          <w:sz w:val="18"/>
          <w:szCs w:val="18"/>
        </w:rPr>
        <w:t xml:space="preserve">September </w:t>
      </w:r>
      <w:r>
        <w:rPr>
          <w:i/>
          <w:iCs/>
          <w:color w:val="666666"/>
          <w:sz w:val="18"/>
          <w:szCs w:val="18"/>
        </w:rPr>
        <w:t>2026</w:t>
      </w:r>
    </w:p>
    <w:sectPr w:rsidR="004C02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9B7B6A"/>
    <w:multiLevelType w:val="hybridMultilevel"/>
    <w:tmpl w:val="FFFFFFFF"/>
    <w:lvl w:ilvl="0" w:tplc="B9046770">
      <w:start w:val="1"/>
      <w:numFmt w:val="bullet"/>
      <w:lvlText w:val="●"/>
      <w:lvlJc w:val="left"/>
      <w:pPr>
        <w:ind w:left="720" w:hanging="360"/>
      </w:pPr>
    </w:lvl>
    <w:lvl w:ilvl="1" w:tplc="93B04990">
      <w:start w:val="1"/>
      <w:numFmt w:val="bullet"/>
      <w:lvlText w:val="○"/>
      <w:lvlJc w:val="left"/>
      <w:pPr>
        <w:ind w:left="1440" w:hanging="360"/>
      </w:pPr>
    </w:lvl>
    <w:lvl w:ilvl="2" w:tplc="AF920FD6">
      <w:start w:val="1"/>
      <w:numFmt w:val="bullet"/>
      <w:lvlText w:val="■"/>
      <w:lvlJc w:val="left"/>
      <w:pPr>
        <w:ind w:left="2160" w:hanging="360"/>
      </w:pPr>
    </w:lvl>
    <w:lvl w:ilvl="3" w:tplc="D982F11C">
      <w:start w:val="1"/>
      <w:numFmt w:val="bullet"/>
      <w:lvlText w:val="●"/>
      <w:lvlJc w:val="left"/>
      <w:pPr>
        <w:ind w:left="2880" w:hanging="360"/>
      </w:pPr>
    </w:lvl>
    <w:lvl w:ilvl="4" w:tplc="4624271A">
      <w:start w:val="1"/>
      <w:numFmt w:val="bullet"/>
      <w:lvlText w:val="○"/>
      <w:lvlJc w:val="left"/>
      <w:pPr>
        <w:ind w:left="3600" w:hanging="360"/>
      </w:pPr>
    </w:lvl>
    <w:lvl w:ilvl="5" w:tplc="53020B4A">
      <w:start w:val="1"/>
      <w:numFmt w:val="bullet"/>
      <w:lvlText w:val="■"/>
      <w:lvlJc w:val="left"/>
      <w:pPr>
        <w:ind w:left="4320" w:hanging="360"/>
      </w:pPr>
    </w:lvl>
    <w:lvl w:ilvl="6" w:tplc="78B2CC7E">
      <w:start w:val="1"/>
      <w:numFmt w:val="bullet"/>
      <w:lvlText w:val="●"/>
      <w:lvlJc w:val="left"/>
      <w:pPr>
        <w:ind w:left="5040" w:hanging="360"/>
      </w:pPr>
    </w:lvl>
    <w:lvl w:ilvl="7" w:tplc="BC4891DC">
      <w:start w:val="1"/>
      <w:numFmt w:val="bullet"/>
      <w:lvlText w:val="●"/>
      <w:lvlJc w:val="left"/>
      <w:pPr>
        <w:ind w:left="5760" w:hanging="360"/>
      </w:pPr>
    </w:lvl>
    <w:lvl w:ilvl="8" w:tplc="17EE4344">
      <w:start w:val="1"/>
      <w:numFmt w:val="bullet"/>
      <w:lvlText w:val="●"/>
      <w:lvlJc w:val="left"/>
      <w:pPr>
        <w:ind w:left="6480" w:hanging="360"/>
      </w:pPr>
    </w:lvl>
  </w:abstractNum>
  <w:num w:numId="1" w16cid:durableId="12010189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2A8"/>
    <w:rsid w:val="004C02A8"/>
    <w:rsid w:val="007B3AC2"/>
    <w:rsid w:val="00C34A00"/>
    <w:rsid w:val="00DA655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00007B0"/>
  <w15:docId w15:val="{57AD81EC-7282-714D-8325-CB6966C6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2E4099"/>
      <w:sz w:val="26"/>
      <w:szCs w:val="26"/>
    </w:rPr>
  </w:style>
  <w:style w:type="paragraph" w:styleId="Heading2">
    <w:name w:val="heading 2"/>
    <w:uiPriority w:val="9"/>
    <w:unhideWhenUsed/>
    <w:qFormat/>
    <w:pPr>
      <w:spacing w:before="200" w:after="80"/>
      <w:outlineLvl w:val="1"/>
    </w:pPr>
    <w:rPr>
      <w:b/>
      <w:bCs/>
      <w:color w:val="1F307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4287</Words>
  <Characters>24438</Characters>
  <Application>Microsoft Office Word</Application>
  <DocSecurity>0</DocSecurity>
  <Lines>203</Lines>
  <Paragraphs>57</Paragraphs>
  <ScaleCrop>false</ScaleCrop>
  <Company/>
  <LinksUpToDate>false</LinksUpToDate>
  <CharactersWithSpaces>28668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Agyei</cp:lastModifiedBy>
  <cp:revision>3</cp:revision>
  <dcterms:created xsi:type="dcterms:W3CDTF">2026-09-08T15:06:00Z</dcterms:created>
  <dcterms:modified xsi:type="dcterms:W3CDTF">2026-09-08T16:51:00Z</dcterms:modified>
</cp:coreProperties>
</file>