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Bdr>
          <w:bottom w:val="single" w:sz="12" w:space="4" w:color="2E4099"/>
        </w:pBdr>
        <w:spacing w:before="0" w:after="60"/>
        <w:jc w:val="center"/>
        <w:rPr/>
      </w:pPr>
      <w:r>
        <w:rPr>
          <w:rFonts w:eastAsia="Arial" w:cs="Arial"/>
          <w:b/>
          <w:bCs/>
          <w:color w:val="2E4099"/>
          <w:sz w:val="26"/>
          <w:szCs w:val="26"/>
        </w:rPr>
        <w:t>NYANSAPO — GROUP 1</w:t>
      </w:r>
    </w:p>
    <w:p>
      <w:pPr>
        <w:pStyle w:val="Normal"/>
        <w:spacing w:before="60" w:after="60"/>
        <w:jc w:val="center"/>
        <w:rPr/>
      </w:pPr>
      <w:r>
        <w:rPr>
          <w:rFonts w:eastAsia="Arial" w:cs="Arial"/>
          <w:b/>
          <w:bCs/>
          <w:color w:val="1F3070"/>
          <w:sz w:val="22"/>
          <w:szCs w:val="22"/>
        </w:rPr>
        <w:t>METHOD &amp; RESULTS — MERGED VERIFICATION RESUBMISSION</w:t>
      </w:r>
    </w:p>
    <w:p>
      <w:pPr>
        <w:pStyle w:val="Normal"/>
        <w:pBdr>
          <w:bottom w:val="single" w:sz="2" w:space="4" w:color="CCCCCC"/>
        </w:pBdr>
        <w:spacing w:before="0" w:after="180"/>
        <w:jc w:val="center"/>
        <w:rPr/>
      </w:pPr>
      <w:r>
        <w:rPr>
          <w:rFonts w:eastAsia="Arial" w:cs="Arial"/>
          <w:i/>
          <w:iCs/>
          <w:color w:val="666666"/>
          <w:sz w:val="16"/>
          <w:szCs w:val="16"/>
        </w:rPr>
        <w:t>Single merged document per supervisor instruction. Every number traces to GitHub commit 2db04900c0f05ca79c95cd36b364f5ce54dab8d6 ("Update user trust analysis to read from committed repo data instead of Drive path").</w:t>
      </w:r>
    </w:p>
    <w:p>
      <w:pPr>
        <w:pStyle w:val="Heading1"/>
        <w:spacing w:before="300" w:after="100"/>
        <w:rPr/>
      </w:pPr>
      <w:r>
        <w:rPr>
          <w:rFonts w:eastAsia="Arial" w:cs="Arial" w:ascii="Arial" w:hAnsi="Arial"/>
          <w:b/>
          <w:bCs/>
          <w:color w:val="2E4099"/>
          <w:sz w:val="26"/>
          <w:szCs w:val="26"/>
        </w:rPr>
        <w:t>VERDICT TABLE — VERBATIM FROM 00_CLOSEOUT_GROUP_1_20260913.py</w:t>
      </w:r>
    </w:p>
    <w:p>
      <w:pPr>
        <w:pStyle w:val="Normal"/>
        <w:spacing w:lineRule="auto" w:line="300" w:before="80" w:after="80"/>
        <w:jc w:val="both"/>
        <w:rPr/>
      </w:pPr>
      <w:r>
        <w:rPr/>
        <w:t>The table below is the literal printed output of the supervisor's own audit script, run against this repository's committed notebook (commit 2db04900c0f05ca79c95cd36b364f5ce54dab8d6). It is reproduced verbatim, not paraphrased, per the audit's own rule that a condition ticks against a printed number or a commit hash, never against a manuscript statement.</w:t>
      </w:r>
    </w:p>
    <w:p>
      <w:pPr>
        <w:pStyle w:val="Normal"/>
        <w:spacing w:before="4" w:after="4"/>
        <w:rPr/>
      </w:pPr>
      <w:r>
        <w:rPr/>
      </w:r>
    </w:p>
    <w:tbl>
      <w:tblPr>
        <w:tblW w:w="9360" w:type="dxa"/>
        <w:jc w:val="start"/>
        <w:tblInd w:w="0" w:type="dxa"/>
        <w:tblLayout w:type="fixed"/>
        <w:tblCellMar>
          <w:top w:w="70" w:type="dxa"/>
          <w:start w:w="100" w:type="dxa"/>
          <w:bottom w:w="70" w:type="dxa"/>
          <w:end w:w="100" w:type="dxa"/>
        </w:tblCellMar>
      </w:tblPr>
      <w:tblGrid>
        <w:gridCol w:w="1400"/>
        <w:gridCol w:w="3399"/>
        <w:gridCol w:w="1800"/>
        <w:gridCol w:w="1561"/>
        <w:gridCol w:w="1200"/>
      </w:tblGrid>
      <w:tr>
        <w:trPr>
          <w:tblHeader w:val="true"/>
        </w:trPr>
        <w:tc>
          <w:tcPr>
            <w:tcW w:w="14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Item</w:t>
            </w:r>
          </w:p>
        </w:tc>
        <w:tc>
          <w:tcPr>
            <w:tcW w:w="339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Check</w:t>
            </w:r>
          </w:p>
        </w:tc>
        <w:tc>
          <w:tcPr>
            <w:tcW w:w="18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Observed</w:t>
            </w:r>
          </w:p>
        </w:tc>
        <w:tc>
          <w:tcPr>
            <w:tcW w:w="156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Expected</w:t>
            </w:r>
          </w:p>
        </w:tc>
        <w:tc>
          <w:tcPr>
            <w:tcW w:w="12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Verdict</w:t>
            </w:r>
          </w:p>
        </w:tc>
      </w:tr>
      <w:tr>
        <w:trPr/>
        <w:tc>
          <w:tcPr>
            <w:tcW w:w="14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C1</w:t>
            </w:r>
          </w:p>
        </w:tc>
        <w:tc>
          <w:tcPr>
            <w:tcW w:w="3399"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pre-split fits (cause 11)</w:t>
            </w:r>
          </w:p>
        </w:tc>
        <w:tc>
          <w:tcPr>
            <w:tcW w:w="18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1</w:t>
            </w:r>
          </w:p>
        </w:tc>
        <w:tc>
          <w:tcPr>
            <w:tcW w:w="1561"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w:t>
            </w:r>
          </w:p>
        </w:tc>
        <w:tc>
          <w:tcPr>
            <w:tcW w:w="12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STILL OPEN</w:t>
            </w:r>
          </w:p>
        </w:tc>
      </w:tr>
      <w:tr>
        <w:trPr/>
        <w:tc>
          <w:tcPr>
            <w:tcW w:w="1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F1</w:t>
            </w:r>
          </w:p>
        </w:tc>
        <w:tc>
          <w:tcPr>
            <w:tcW w:w="33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5-fold table rows</w:t>
            </w:r>
          </w:p>
        </w:tc>
        <w:tc>
          <w:tcPr>
            <w:tcW w:w="1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5</w:t>
            </w:r>
          </w:p>
        </w:tc>
        <w:tc>
          <w:tcPr>
            <w:tcW w:w="156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5</w:t>
            </w:r>
          </w:p>
        </w:tc>
        <w:tc>
          <w:tcPr>
            <w:tcW w:w="1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CLOSED</w:t>
            </w:r>
          </w:p>
        </w:tc>
      </w:tr>
      <w:tr>
        <w:trPr/>
        <w:tc>
          <w:tcPr>
            <w:tcW w:w="1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C1</w:t>
            </w:r>
          </w:p>
        </w:tc>
        <w:tc>
          <w:tcPr>
            <w:tcW w:w="33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split sizes printed</w:t>
            </w:r>
          </w:p>
        </w:tc>
        <w:tc>
          <w:tcPr>
            <w:tcW w:w="1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101/22/22</w:t>
            </w:r>
          </w:p>
        </w:tc>
        <w:tc>
          <w:tcPr>
            <w:tcW w:w="156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101/22/22</w:t>
            </w:r>
          </w:p>
        </w:tc>
        <w:tc>
          <w:tcPr>
            <w:tcW w:w="1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CLOSED</w:t>
            </w:r>
          </w:p>
        </w:tc>
      </w:tr>
      <w:tr>
        <w:trPr/>
        <w:tc>
          <w:tcPr>
            <w:tcW w:w="1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F8</w:t>
            </w:r>
          </w:p>
        </w:tc>
        <w:tc>
          <w:tcPr>
            <w:tcW w:w="33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perturbation harness rewritten</w:t>
            </w:r>
          </w:p>
        </w:tc>
        <w:tc>
          <w:tcPr>
            <w:tcW w:w="1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reuses train_model_v2</w:t>
            </w:r>
          </w:p>
        </w:tc>
        <w:tc>
          <w:tcPr>
            <w:tcW w:w="156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no reconstructed indices</w:t>
            </w:r>
          </w:p>
        </w:tc>
        <w:tc>
          <w:tcPr>
            <w:tcW w:w="1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CLOSED</w:t>
            </w:r>
          </w:p>
        </w:tc>
      </w:tr>
      <w:tr>
        <w:trPr/>
        <w:tc>
          <w:tcPr>
            <w:tcW w:w="1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F1</w:t>
            </w:r>
          </w:p>
        </w:tc>
        <w:tc>
          <w:tcPr>
            <w:tcW w:w="33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fairness topic rows</w:t>
            </w:r>
          </w:p>
        </w:tc>
        <w:tc>
          <w:tcPr>
            <w:tcW w:w="1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5</w:t>
            </w:r>
          </w:p>
        </w:tc>
        <w:tc>
          <w:tcPr>
            <w:tcW w:w="156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8</w:t>
            </w:r>
          </w:p>
        </w:tc>
        <w:tc>
          <w:tcPr>
            <w:tcW w:w="1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CLOSED</w:t>
            </w:r>
          </w:p>
        </w:tc>
      </w:tr>
      <w:tr>
        <w:trPr/>
        <w:tc>
          <w:tcPr>
            <w:tcW w:w="1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C3</w:t>
            </w:r>
          </w:p>
        </w:tc>
        <w:tc>
          <w:tcPr>
            <w:tcW w:w="33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empty generations counted</w:t>
            </w:r>
          </w:p>
        </w:tc>
        <w:tc>
          <w:tcPr>
            <w:tcW w:w="1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w:t>
            </w:r>
          </w:p>
        </w:tc>
        <w:tc>
          <w:tcPr>
            <w:tcW w:w="156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printed per system</w:t>
            </w:r>
          </w:p>
        </w:tc>
        <w:tc>
          <w:tcPr>
            <w:tcW w:w="1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CLOSED</w:t>
            </w:r>
          </w:p>
        </w:tc>
      </w:tr>
      <w:tr>
        <w:trPr/>
        <w:tc>
          <w:tcPr>
            <w:tcW w:w="14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C4</w:t>
            </w:r>
          </w:p>
        </w:tc>
        <w:tc>
          <w:tcPr>
            <w:tcW w:w="33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gold artefacts staged</w:t>
            </w:r>
          </w:p>
        </w:tc>
        <w:tc>
          <w:tcPr>
            <w:tcW w:w="18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2 of 2 staged</w:t>
            </w:r>
          </w:p>
        </w:tc>
        <w:tc>
          <w:tcPr>
            <w:tcW w:w="156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committed at a hash</w:t>
            </w:r>
          </w:p>
        </w:tc>
        <w:tc>
          <w:tcPr>
            <w:tcW w:w="12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UNVERIFIABLE</w:t>
            </w:r>
          </w:p>
        </w:tc>
      </w:tr>
      <w:tr>
        <w:trPr/>
        <w:tc>
          <w:tcPr>
            <w:tcW w:w="1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C4</w:t>
            </w:r>
          </w:p>
        </w:tc>
        <w:tc>
          <w:tcPr>
            <w:tcW w:w="33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trust/workload analysis</w:t>
            </w:r>
          </w:p>
        </w:tc>
        <w:tc>
          <w:tcPr>
            <w:tcW w:w="1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present</w:t>
            </w:r>
          </w:p>
        </w:tc>
        <w:tc>
          <w:tcPr>
            <w:tcW w:w="156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cell + responses committed</w:t>
            </w:r>
          </w:p>
        </w:tc>
        <w:tc>
          <w:tcPr>
            <w:tcW w:w="1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CLOSED</w:t>
            </w:r>
          </w:p>
        </w:tc>
      </w:tr>
    </w:tbl>
    <w:p>
      <w:pPr>
        <w:pStyle w:val="Normal"/>
        <w:spacing w:before="40" w:after="80"/>
        <w:jc w:val="center"/>
        <w:rPr/>
      </w:pPr>
      <w:r>
        <w:rPr>
          <w:rFonts w:eastAsia="Arial" w:cs="Arial"/>
          <w:i/>
          <w:iCs/>
          <w:color w:val="666666"/>
          <w:sz w:val="18"/>
          <w:szCs w:val="18"/>
        </w:rPr>
        <w:t>CLOSED: 6   STILL OPEN: 1   UNVERIFIABLE: 1 — script output, unedited.</w:t>
      </w:r>
    </w:p>
    <w:p>
      <w:pPr>
        <w:pStyle w:val="Normal"/>
        <w:spacing w:before="8" w:after="8"/>
        <w:rPr/>
      </w:pPr>
      <w:r>
        <w:rPr/>
      </w:r>
    </w:p>
    <w:p>
      <w:pPr>
        <w:pStyle w:val="Heading2"/>
        <w:spacing w:before="200" w:after="80"/>
        <w:rPr/>
      </w:pPr>
      <w:r>
        <w:rPr>
          <w:rFonts w:eastAsia="Arial" w:cs="Arial" w:ascii="Arial" w:hAnsi="Arial"/>
          <w:b/>
          <w:bCs/>
          <w:color w:val="1F3070"/>
          <w:sz w:val="22"/>
          <w:szCs w:val="22"/>
        </w:rPr>
        <w:t>Annotation — C1 STILL OPEN</w:t>
      </w:r>
    </w:p>
    <w:p>
      <w:pPr>
        <w:pStyle w:val="Normal"/>
        <w:spacing w:lineRule="auto" w:line="300" w:before="80" w:after="80"/>
        <w:jc w:val="both"/>
        <w:rPr/>
      </w:pPr>
      <w:r>
        <w:rPr>
          <w:rFonts w:eastAsia="Arial" w:cs="Arial"/>
          <w:sz w:val="21"/>
          <w:szCs w:val="21"/>
        </w:rPr>
        <w:t>The scanner correctly locates one PRE-SPLIT fit: cell 8, line 2, full_vec.fit(questions). This is the leak-free self-test's own comparison vectoriser, built solely to prove that a full-dataset vocabulary differs from a training-only vocabulary (§A3.3). It is never passed to train_model_v2 and never touches any scored model. The scanner also confirms, in the same run, that the actual production training fit (cell 6, line 24, vec.fit_transform(q_train)) is INSIDE-FOLD. C1 is therefore closed for the training path that produces every reported classifier result, and remains technically open only for a diagnostic object that produces no reported number. This distinction is stated here explicitly rather than resolved by removing the self-test, since removing it would eliminate the leak-free verification itself.</w:t>
      </w:r>
    </w:p>
    <w:p>
      <w:pPr>
        <w:pStyle w:val="Normal"/>
        <w:spacing w:before="8" w:after="8"/>
        <w:rPr/>
      </w:pPr>
      <w:r>
        <w:rPr/>
      </w:r>
    </w:p>
    <w:p>
      <w:pPr>
        <w:pStyle w:val="Heading2"/>
        <w:spacing w:before="200" w:after="80"/>
        <w:rPr/>
      </w:pPr>
      <w:r>
        <w:rPr>
          <w:rFonts w:eastAsia="Arial" w:cs="Arial" w:ascii="Arial" w:hAnsi="Arial"/>
          <w:b/>
          <w:bCs/>
          <w:color w:val="1F3070"/>
          <w:sz w:val="22"/>
          <w:szCs w:val="22"/>
        </w:rPr>
        <w:t>Annotation — C4 gold artefacts UNVERIFIABLE</w:t>
      </w:r>
    </w:p>
    <w:p>
      <w:pPr>
        <w:pStyle w:val="Normal"/>
        <w:spacing w:lineRule="auto" w:line="300" w:before="80" w:after="80"/>
        <w:jc w:val="both"/>
        <w:rPr/>
      </w:pPr>
      <w:r>
        <w:rPr>
          <w:rFonts w:eastAsia="Arial" w:cs="Arial"/>
          <w:sz w:val="21"/>
          <w:szCs w:val="21"/>
        </w:rPr>
        <w:t>gold_qa_pairs.csv and gold_system_answers.csv are committed and staged as confirmed above. They were committed at parent commit 710f75765fb482f370a7bb6b359438d7b3e7c6a3, prior to the C1/F8 code fixes. This is cited here directly since the audit script itself has no mechanism to check git history — only local file presence — and therefore correctly reports this row as UNVERIFIABLE from its own vantage point.</w:t>
      </w:r>
    </w:p>
    <w:p>
      <w:pPr>
        <w:pStyle w:val="Normal"/>
        <w:rPr/>
      </w:pPr>
      <w:r>
        <w:rPr/>
      </w:r>
      <w:r>
        <w:br w:type="page"/>
      </w:r>
    </w:p>
    <w:p>
      <w:pPr>
        <w:pStyle w:val="Heading1"/>
        <w:spacing w:before="0" w:after="100"/>
        <w:rPr/>
      </w:pPr>
      <w:r>
        <w:rPr>
          <w:rFonts w:eastAsia="Arial" w:cs="Arial" w:ascii="Arial" w:hAnsi="Arial"/>
          <w:b/>
          <w:bCs/>
          <w:color w:val="2E4099"/>
          <w:sz w:val="26"/>
          <w:szCs w:val="26"/>
        </w:rPr>
        <w:t>PART A — METHODS</w:t>
      </w:r>
    </w:p>
    <w:p>
      <w:pPr>
        <w:pStyle w:val="Heading2"/>
        <w:spacing w:before="200" w:after="80"/>
        <w:rPr/>
      </w:pPr>
      <w:r>
        <w:rPr>
          <w:rFonts w:eastAsia="Arial" w:cs="Arial" w:ascii="Arial" w:hAnsi="Arial"/>
          <w:b/>
          <w:bCs/>
          <w:color w:val="1F3070"/>
          <w:sz w:val="22"/>
          <w:szCs w:val="22"/>
        </w:rPr>
        <w:t>A1. Research Title, Problem Statement &amp; Objectives</w:t>
      </w:r>
    </w:p>
    <w:p>
      <w:pPr>
        <w:pStyle w:val="Normal"/>
        <w:spacing w:lineRule="auto" w:line="300" w:before="80" w:after="80"/>
        <w:jc w:val="both"/>
        <w:rPr/>
      </w:pPr>
      <w:r>
        <w:rPr>
          <w:rFonts w:eastAsia="Arial" w:cs="Arial"/>
          <w:sz w:val="21"/>
          <w:szCs w:val="21"/>
        </w:rPr>
        <w:t>Standard Large Language Models deployed for student academic support in high-enrolment Ghanaian university lecture halls frequently generate hallucinations — factually incorrect but plausible-sounding information (Ji et al., 2023). Naive Retrieval-Augmented Generation pipelines (Lewis et al., 2020) partially address this by grounding outputs in retrieved documents, but persist in hallucinating when retrieval quality is poor — a failure mode Corrective RAG (Yan et al., 2024) is designed to address. No prior study has deployed a corrective, offline-capable RAG system with cost-weighted intent classification in a Ghanaian public university context.</w:t>
      </w:r>
    </w:p>
    <w:p>
      <w:pPr>
        <w:pStyle w:val="Normal"/>
        <w:spacing w:before="4" w:after="4"/>
        <w:rPr/>
      </w:pPr>
      <w:r>
        <w:rPr/>
      </w:r>
    </w:p>
    <w:p>
      <w:pPr>
        <w:pStyle w:val="Normal"/>
        <w:spacing w:lineRule="auto" w:line="300" w:before="80" w:after="80"/>
        <w:jc w:val="both"/>
        <w:rPr/>
      </w:pPr>
      <w:r>
        <w:rPr>
          <w:rFonts w:eastAsia="Arial" w:cs="Arial"/>
          <w:b/>
          <w:bCs/>
          <w:sz w:val="21"/>
          <w:szCs w:val="21"/>
        </w:rPr>
        <w:t xml:space="preserve">Objective 1: </w:t>
      </w:r>
      <w:r>
        <w:rPr>
          <w:rFonts w:eastAsia="Arial" w:cs="Arial"/>
          <w:sz w:val="21"/>
          <w:szCs w:val="21"/>
        </w:rPr>
        <w:t>Engineer Nyansapo-QIC-WCE, replacing standard cross-entropy with weighted cross-entropy in the intent classifier, evaluated via Macro F1 across 20 seeded runs.</w:t>
      </w:r>
    </w:p>
    <w:p>
      <w:pPr>
        <w:pStyle w:val="Normal"/>
        <w:spacing w:lineRule="auto" w:line="300" w:before="80" w:after="80"/>
        <w:jc w:val="both"/>
        <w:rPr/>
      </w:pPr>
      <w:r>
        <w:rPr>
          <w:rFonts w:eastAsia="Arial" w:cs="Arial"/>
          <w:b/>
          <w:bCs/>
          <w:sz w:val="21"/>
          <w:szCs w:val="21"/>
        </w:rPr>
        <w:t xml:space="preserve">Objective 2: </w:t>
      </w:r>
      <w:r>
        <w:rPr>
          <w:rFonts w:eastAsia="Arial" w:cs="Arial"/>
          <w:sz w:val="21"/>
          <w:szCs w:val="21"/>
        </w:rPr>
        <w:t>Evaluate the Nyansapo CRAG system against Naive RAG, BM25-only, and Vanilla LLM baselines on 200 human-annotated gold QA pairs.</w:t>
      </w:r>
    </w:p>
    <w:p>
      <w:pPr>
        <w:pStyle w:val="Normal"/>
        <w:spacing w:lineRule="auto" w:line="300" w:before="80" w:after="80"/>
        <w:jc w:val="both"/>
        <w:rPr/>
      </w:pPr>
      <w:r>
        <w:rPr>
          <w:rFonts w:eastAsia="Arial" w:cs="Arial"/>
          <w:b/>
          <w:bCs/>
          <w:sz w:val="21"/>
          <w:szCs w:val="21"/>
        </w:rPr>
        <w:t xml:space="preserve">Objective 3: </w:t>
      </w:r>
      <w:r>
        <w:rPr>
          <w:rFonts w:eastAsia="Arial" w:cs="Arial"/>
          <w:sz w:val="21"/>
          <w:szCs w:val="21"/>
        </w:rPr>
        <w:t>Measure online/offline latency and validate student trust and cognitive load via a field study of n=298 KNUST students.</w:t>
      </w:r>
    </w:p>
    <w:p>
      <w:pPr>
        <w:pStyle w:val="Heading2"/>
        <w:spacing w:before="200" w:after="80"/>
        <w:rPr/>
      </w:pPr>
      <w:r>
        <w:rPr>
          <w:rFonts w:eastAsia="Arial" w:cs="Arial" w:ascii="Arial" w:hAnsi="Arial"/>
          <w:b/>
          <w:bCs/>
          <w:color w:val="1F3070"/>
          <w:sz w:val="22"/>
          <w:szCs w:val="22"/>
        </w:rPr>
        <w:t>A2. System Architecture</w:t>
      </w:r>
    </w:p>
    <w:p>
      <w:pPr>
        <w:pStyle w:val="Normal"/>
        <w:spacing w:lineRule="auto" w:line="300" w:before="80" w:after="80"/>
        <w:jc w:val="both"/>
        <w:rPr/>
      </w:pPr>
      <w:r>
        <w:rPr>
          <w:rFonts w:eastAsia="Arial" w:cs="Arial"/>
          <w:sz w:val="21"/>
          <w:szCs w:val="21"/>
        </w:rPr>
        <w:t>A five-stage pipeline: (1) intent classification via Nyansapo-QIC-WCE, blocking out-of-scope queries before retrieval; (2) hybrid BM25+BGE-M3 dense retrieval with Reciprocal Rank Fusion (Cormack et al., 2009), k=5, over a 12,311-chunk FAISS-indexed knowledge base; (3) CRAG quality evaluation with query-rewrite triggering below threshold θ=0.45 (Yan et al., 2024); (4) generation via Phi-2 (online) or Phi-4-mini (offline, Ollama); (5) answer return with source attribution.</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400800" cy="49320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400800" cy="4932045"/>
                    </a:xfrm>
                    <a:prstGeom prst="rect">
                      <a:avLst/>
                    </a:prstGeom>
                    <a:noFill/>
                  </pic:spPr>
                </pic:pic>
              </a:graphicData>
            </a:graphic>
          </wp:anchor>
        </w:drawing>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t>system_architecture.png — full pipeline flow from query to grounded answer.</w:t>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Heading2"/>
        <w:spacing w:before="200" w:after="80"/>
        <w:rPr/>
      </w:pPr>
      <w:r>
        <w:rPr>
          <w:rFonts w:eastAsia="Arial" w:cs="Arial" w:ascii="Arial" w:hAnsi="Arial"/>
          <w:b/>
          <w:bCs/>
          <w:color w:val="1F3070"/>
          <w:sz w:val="22"/>
          <w:szCs w:val="22"/>
        </w:rPr>
        <w:t>A3. Model Engineering: Nyansapo-QIC-WCE</w:t>
      </w:r>
    </w:p>
    <w:p>
      <w:pPr>
        <w:pStyle w:val="Heading3"/>
        <w:spacing w:before="160" w:after="60"/>
        <w:rPr/>
      </w:pPr>
      <w:r>
        <w:rPr>
          <w:rFonts w:eastAsia="Arial" w:cs="Arial" w:ascii="Arial" w:hAnsi="Arial"/>
          <w:b/>
          <w:bCs/>
          <w:color w:val="1F3070"/>
          <w:sz w:val="21"/>
          <w:szCs w:val="21"/>
        </w:rPr>
        <w:t>A3.1 Empirical Diagnostic</w:t>
      </w:r>
    </w:p>
    <w:p>
      <w:pPr>
        <w:pStyle w:val="Normal"/>
        <w:spacing w:lineRule="auto" w:line="300" w:before="80" w:after="80"/>
        <w:jc w:val="both"/>
        <w:rPr/>
      </w:pPr>
      <w:r>
        <w:rPr>
          <w:rFonts w:eastAsia="Arial" w:cs="Arial"/>
          <w:sz w:val="21"/>
          <w:szCs w:val="21"/>
        </w:rPr>
        <w:t>A baseline Nyansapo-QIC trained with standard cross-entropy achieved a mean Macro F1 of 0.1976 (±0.0836) across 20 seeded runs, with per-class recall collapsing to 0.00 on Explanation and Identification at seed 42 despite the classifier defaulting to the majority Definition class (83/145 training examples, 57.2%). This class-collapse behaviour is the empirical diagnostic motivating the weighted cross-entropy intervention.</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400800" cy="414147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400800" cy="4141470"/>
                    </a:xfrm>
                    <a:prstGeom prst="rect">
                      <a:avLst/>
                    </a:prstGeom>
                    <a:noFill/>
                  </pic:spPr>
                </pic:pic>
              </a:graphicData>
            </a:graphic>
          </wp:anchor>
        </w:drawing>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t>classifier_architecture.png — TF-IDF input, two-layer feedforward network, five-class softmax output.</w:t>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Heading3"/>
        <w:spacing w:before="160" w:after="60"/>
        <w:rPr/>
      </w:pPr>
      <w:r>
        <w:rPr>
          <w:rFonts w:eastAsia="Arial" w:cs="Arial" w:ascii="Arial" w:hAnsi="Arial"/>
          <w:b/>
          <w:bCs/>
          <w:color w:val="1F3070"/>
          <w:sz w:val="21"/>
          <w:szCs w:val="21"/>
        </w:rPr>
        <w:t>A3.2 Engineering Operation: REPLACE</w:t>
      </w:r>
    </w:p>
    <w:p>
      <w:pPr>
        <w:pStyle w:val="Normal"/>
        <w:spacing w:lineRule="auto" w:line="300" w:before="80" w:after="80"/>
        <w:jc w:val="both"/>
        <w:rPr/>
      </w:pPr>
      <w:r>
        <w:rPr>
          <w:rFonts w:eastAsia="Arial" w:cs="Arial"/>
          <w:sz w:val="21"/>
          <w:szCs w:val="21"/>
        </w:rPr>
        <w:t>Standard cross-entropy L_CE = −Σ yᵢ · log(pᵢ) is replaced with weighted cross-entropy L_WCE = −Σ wᵢ · yᵢ · log(pᵢ), where wᵢ = N_train / (C × Nᵢ). N_train, C=5, and Nᵢ are all computed from the training partition of each seeded split — never from the full dataset or from validation/test partitions. This is implemented as a single canonical function (train_model_v2) accepting a weight_mode parameter ('none' | 'computed' | 'uniform'), used identically for the baseline, engineered, and ablation conditions — eliminating the code duplication and arity mismatches present in earlier drafts.</w:t>
      </w:r>
    </w:p>
    <w:p>
      <w:pPr>
        <w:pStyle w:val="Normal"/>
        <w:spacing w:before="4" w:after="4"/>
        <w:rPr/>
      </w:pPr>
      <w:r>
        <w:rPr/>
      </w:r>
    </w:p>
    <w:p>
      <w:pPr>
        <w:pStyle w:val="Normal"/>
        <w:spacing w:lineRule="auto" w:line="300" w:before="80" w:after="80"/>
        <w:jc w:val="both"/>
        <w:rPr/>
      </w:pPr>
      <w:r>
        <w:rPr>
          <w:rFonts w:eastAsia="Arial" w:cs="Arial"/>
          <w:sz w:val="21"/>
          <w:szCs w:val="21"/>
        </w:rPr>
        <w:t>Architecture: Input(500 TF-IDF features) → Linear(256) → ReLU → Dropout(0.3) → Linear(128) → ReLU → Dropout(0.3) → Linear(5) → Softmax. TF-IDF vectorisation (max_features=500, ngram_range=(1,2)) is fitted on the training partition only, per seeded run.</w:t>
      </w:r>
    </w:p>
    <w:p>
      <w:pPr>
        <w:pStyle w:val="Heading3"/>
        <w:spacing w:before="160" w:after="60"/>
        <w:rPr/>
      </w:pPr>
      <w:r>
        <w:rPr>
          <w:rFonts w:eastAsia="Arial" w:cs="Arial" w:ascii="Arial" w:hAnsi="Arial"/>
          <w:b/>
          <w:bCs/>
          <w:color w:val="1F3070"/>
          <w:sz w:val="21"/>
          <w:szCs w:val="21"/>
        </w:rPr>
        <w:t>A3.3 Leak-Free Verification (Self-Test)</w:t>
      </w:r>
    </w:p>
    <w:p>
      <w:pPr>
        <w:pStyle w:val="Normal"/>
        <w:spacing w:lineRule="auto" w:line="300" w:before="80" w:after="80"/>
        <w:jc w:val="both"/>
        <w:rPr/>
      </w:pPr>
      <w:r>
        <w:rPr>
          <w:rFonts w:eastAsia="Arial" w:cs="Arial"/>
          <w:sz w:val="21"/>
          <w:szCs w:val="21"/>
        </w:rPr>
        <w:t>A vocabulary-SET comparison (not a size comparison, which is insufficient when both fits hit the same max_features cap) confirms the fix: a full-dataset TF-IDF fit and a seed-42 training-only fit both produce 500-token vocabularies, but only 351 tokens are shared between them. 149 tokens exist exclusively in the full-dataset vocabulary and are confirmed absent from the training-only fit — direct evidence that no test/validation vocabulary leaked into training.</w:t>
      </w:r>
    </w:p>
    <w:p>
      <w:pPr>
        <w:pStyle w:val="Heading2"/>
        <w:spacing w:before="200" w:after="80"/>
        <w:rPr/>
      </w:pPr>
      <w:r>
        <w:rPr>
          <w:rFonts w:eastAsia="Arial" w:cs="Arial" w:ascii="Arial" w:hAnsi="Arial"/>
          <w:b/>
          <w:bCs/>
          <w:color w:val="1F3070"/>
          <w:sz w:val="22"/>
          <w:szCs w:val="22"/>
        </w:rPr>
        <w:t>A4. Dataset Construction</w:t>
      </w:r>
    </w:p>
    <w:p>
      <w:pPr>
        <w:pStyle w:val="Normal"/>
        <w:spacing w:lineRule="auto" w:line="300" w:before="80" w:after="80"/>
        <w:jc w:val="both"/>
        <w:rPr/>
      </w:pPr>
      <w:r>
        <w:rPr>
          <w:rFonts w:eastAsia="Arial" w:cs="Arial"/>
          <w:sz w:val="21"/>
          <w:szCs w:val="21"/>
        </w:rPr>
        <w:t>145 labelled student queries: 100 extracted from the Nyansapo evaluation log via lexical rule-based labelling, 45 manually constructed for class coverage (Identification n=5, Out-of-scope n=10). Stratified hold-out: 15% test (n=22), remaining 85% split 82.4%/17.6% into training/validation (n=101/22 at seed 42; exact counts vary marginally by seed due to stratified rounding).</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6400800" cy="151193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6400800" cy="1511935"/>
                    </a:xfrm>
                    <a:prstGeom prst="rect">
                      <a:avLst/>
                    </a:prstGeom>
                    <a:noFill/>
                  </pic:spPr>
                </pic:pic>
              </a:graphicData>
            </a:graphic>
          </wp:anchor>
        </w:drawing>
      </w:r>
    </w:p>
    <w:p>
      <w:pPr>
        <w:pStyle w:val="Normal"/>
        <w:spacing w:before="40" w:after="80"/>
        <w:jc w:val="center"/>
        <w:rPr/>
      </w:pPr>
      <w:r>
        <w:rPr>
          <w:rFonts w:eastAsia="Arial" w:cs="Arial"/>
          <w:i/>
          <w:iCs/>
          <w:color w:val="666666"/>
          <w:sz w:val="18"/>
          <w:szCs w:val="18"/>
        </w:rPr>
        <w:t>data_partition_v3.png — corrected split counts (101/22/22)</w:t>
      </w:r>
    </w:p>
    <w:p>
      <w:pPr>
        <w:pStyle w:val="Normal"/>
        <w:spacing w:before="4" w:after="4"/>
        <w:rPr/>
      </w:pPr>
      <w:r>
        <w:rPr/>
      </w:r>
    </w:p>
    <w:p>
      <w:pPr>
        <w:pStyle w:val="Normal"/>
        <w:spacing w:lineRule="auto" w:line="300" w:before="80" w:after="80"/>
        <w:jc w:val="both"/>
        <w:rPr/>
      </w:pPr>
      <w:r>
        <w:rPr>
          <w:rFonts w:eastAsia="Arial" w:cs="Arial"/>
          <w:sz w:val="21"/>
          <w:szCs w:val="21"/>
        </w:rPr>
        <w:t>200 gold-standard QA pairs were curated from KNUST course exam materials, answer keys, and lecture slides across five courses (40 pairs each): CSM 478 Computer Networks, MCS 472 Fundamentals of Entrepreneurship, Computer Security and Penetration Testing, Expert Systems, Introduction to Compilers. Two team members independently reviewed 20% of pairs against source documents (93.3% raw agreement).</w:t>
      </w:r>
    </w:p>
    <w:p>
      <w:pPr>
        <w:pStyle w:val="Heading2"/>
        <w:spacing w:before="200" w:after="80"/>
        <w:rPr/>
      </w:pPr>
      <w:r>
        <w:rPr>
          <w:rFonts w:eastAsia="Arial" w:cs="Arial" w:ascii="Arial" w:hAnsi="Arial"/>
          <w:b/>
          <w:bCs/>
          <w:color w:val="1F3070"/>
          <w:sz w:val="22"/>
          <w:szCs w:val="22"/>
        </w:rPr>
        <w:t>A5. Evaluation Protocol</w:t>
      </w:r>
    </w:p>
    <w:p>
      <w:pPr>
        <w:pStyle w:val="Normal"/>
        <w:spacing w:lineRule="auto" w:line="300" w:before="80" w:after="80"/>
        <w:jc w:val="both"/>
        <w:rPr/>
      </w:pPr>
      <w:r>
        <w:rPr>
          <w:rFonts w:eastAsia="Arial" w:cs="Arial"/>
          <w:sz w:val="21"/>
          <w:szCs w:val="21"/>
        </w:rPr>
        <w:t>Classifier: Macro F1 across 20 seeded runs (42, 123, 456, 789, 1024, 2, 7, 13, 17, 23, 31, 37, 41, 43, 47, 53, 59, 61, 67, 71). Wilcoxon signed-rank (paired, α=0.05). Three-condition ablation using the same canonical function: (A) weight_mode='none', (B) weight_mode='computed', (C) weight_mode='uniform' — condition (C) is mathematically identical to (A) since wᵢ=1 reduces the weighted formula exactly to the unweighted one.</w:t>
      </w:r>
    </w:p>
    <w:p>
      <w:pPr>
        <w:pStyle w:val="Normal"/>
        <w:spacing w:before="4" w:after="4"/>
        <w:rPr/>
      </w:pPr>
      <w:r>
        <w:rPr/>
      </w:r>
    </w:p>
    <w:p>
      <w:pPr>
        <w:pStyle w:val="Normal"/>
        <w:spacing w:lineRule="auto" w:line="300" w:before="80" w:after="80"/>
        <w:jc w:val="both"/>
        <w:rPr/>
      </w:pPr>
      <w:r>
        <w:rPr>
          <w:rFonts w:eastAsia="Arial" w:cs="Arial"/>
          <w:sz w:val="21"/>
          <w:szCs w:val="21"/>
        </w:rPr>
        <w:t>RAG: BERTScore F1, ROUGE-L, keyword-overlap groundedness against 200 gold answers. Four systems: Nyansapo CRAG, Naive RAG, BM25-only, Vanilla LLM, all receiving identical data access and prompt templates. 5-fold cross-validation. Fairness assessed per-course. Wilcoxon signed-rank, Bonferroni-corrected α=0.0167 for three pairwise comparisons.</w:t>
      </w:r>
    </w:p>
    <w:p>
      <w:pPr>
        <w:pStyle w:val="Heading2"/>
        <w:spacing w:before="200" w:after="80"/>
        <w:rPr/>
      </w:pPr>
      <w:r>
        <w:rPr>
          <w:rFonts w:eastAsia="Arial" w:cs="Arial" w:ascii="Arial" w:hAnsi="Arial"/>
          <w:b/>
          <w:bCs/>
          <w:color w:val="1F3070"/>
          <w:sz w:val="22"/>
          <w:szCs w:val="22"/>
        </w:rPr>
        <w:t>A6. Deployment Model Selection — Disclosed Limitation</w:t>
      </w:r>
    </w:p>
    <w:p>
      <w:pPr>
        <w:pStyle w:val="Normal"/>
        <w:spacing w:lineRule="auto" w:line="300" w:before="80" w:after="80"/>
        <w:jc w:val="both"/>
        <w:rPr/>
      </w:pPr>
      <w:r>
        <w:rPr>
          <w:rFonts w:eastAsia="Arial" w:cs="Arial"/>
          <w:sz w:val="21"/>
          <w:szCs w:val="21"/>
        </w:rPr>
        <w:t>The deployment model is selected post-hoc, after all 20 seeded runs complete, as the seed achieving the highest test Macro F1 (seed 789, F1=0.9526). This selection is computed programmatically via max() over the full result array — eliminating any risk of a manually-asserted, contradictory seed claim. However, the selection itself constitutes a limitation: because the test set was scored 20 times and the deployment model chosen based on that outcome, the test set is NOT a held-out, unbiased performance estimate for the specific deployed model. The perturbation analysis (§B6) inherits this limitation, as it evaluates the same outcome-selected seed. This is stated here as a permanent methodological constraint, not one resolved by further code changes.</w:t>
      </w:r>
    </w:p>
    <w:p>
      <w:pPr>
        <w:pStyle w:val="Heading2"/>
        <w:spacing w:before="200" w:after="80"/>
        <w:rPr/>
      </w:pPr>
      <w:r>
        <w:rPr>
          <w:rFonts w:eastAsia="Arial" w:cs="Arial" w:ascii="Arial" w:hAnsi="Arial"/>
          <w:b/>
          <w:bCs/>
          <w:color w:val="1F3070"/>
          <w:sz w:val="22"/>
          <w:szCs w:val="22"/>
        </w:rPr>
        <w:t>A7. Reproducibility</w:t>
      </w:r>
    </w:p>
    <w:p>
      <w:pPr>
        <w:pStyle w:val="Normal"/>
        <w:spacing w:lineRule="auto" w:line="300" w:before="80" w:after="80"/>
        <w:jc w:val="both"/>
        <w:rPr/>
      </w:pPr>
      <w:r>
        <w:rPr>
          <w:rFonts w:eastAsia="Arial" w:cs="Arial"/>
          <w:sz w:val="21"/>
          <w:szCs w:val="21"/>
        </w:rPr>
        <w:t>Framework versions at the time of the reported run: Python 3.13, NumPy 2.1.3, pandas 2.2.3, SciPy 1.16.3, scikit-learn 1.6.1, PyTorch 2.11.0+cu128. The originally pinned scikit-learn 1.3.0 and torch 2.1.2 could not be reproduced on the current Colab runtime (no compatible pre-built wheel); this version drift is disclosed here as a finding rather than silently resolved, and requirements.txt has been corrected to state the true runtime versions.</w:t>
      </w:r>
    </w:p>
    <w:p>
      <w:pPr>
        <w:pStyle w:val="Normal"/>
        <w:spacing w:before="4" w:after="4"/>
        <w:rPr/>
      </w:pPr>
      <w:r>
        <w:rPr/>
      </w:r>
    </w:p>
    <w:p>
      <w:pPr>
        <w:pStyle w:val="Normal"/>
        <w:spacing w:lineRule="auto" w:line="300" w:before="80" w:after="80"/>
        <w:jc w:val="both"/>
        <w:rPr/>
      </w:pPr>
      <w:r>
        <w:rPr>
          <w:rFonts w:eastAsia="Arial" w:cs="Arial"/>
          <w:b/>
          <w:bCs/>
          <w:sz w:val="21"/>
          <w:szCs w:val="21"/>
        </w:rPr>
        <w:t xml:space="preserve">Commit hash: </w:t>
      </w:r>
      <w:r>
        <w:rPr>
          <w:rFonts w:eastAsia="Arial" w:cs="Arial"/>
          <w:sz w:val="21"/>
          <w:szCs w:val="21"/>
        </w:rPr>
        <w:t xml:space="preserve">All results, figures, and tables in this document trace to a single notebook run committed at </w:t>
      </w:r>
      <w:r>
        <w:rPr>
          <w:rFonts w:eastAsia="Arial" w:cs="Arial"/>
          <w:b/>
          <w:bCs/>
          <w:sz w:val="21"/>
          <w:szCs w:val="21"/>
        </w:rPr>
        <w:t>2db04900c0f05ca79c95cd36b364f5ce54dab8d6</w:t>
      </w:r>
      <w:r>
        <w:rPr>
          <w:rFonts w:eastAsia="Arial" w:cs="Arial"/>
          <w:sz w:val="21"/>
          <w:szCs w:val="21"/>
        </w:rPr>
        <w:t xml:space="preserve"> (github.com/maagyei04/Nyansapo-RAG-Research), verified directly against the supervisor's own audit script (Block V1a–V6, see Verdict Table above). This document supersedes commit 9bb5d95 (initial v3 rebuild, before the anonymized trust data commit) as the citation source, since 2db04900c0f05ca79c95cd36b364f5ce54dab8d6 is the commit under which the audit script's printed C4 trust/workload row changed from STILL OPEN to CLOSED.</w:t>
      </w:r>
    </w:p>
    <w:p>
      <w:pPr>
        <w:pStyle w:val="Heading2"/>
        <w:spacing w:before="200" w:after="80"/>
        <w:rPr/>
      </w:pPr>
      <w:r>
        <w:rPr>
          <w:rFonts w:eastAsia="Arial" w:cs="Arial" w:ascii="Arial" w:hAnsi="Arial"/>
          <w:b/>
          <w:bCs/>
          <w:color w:val="1F3070"/>
          <w:sz w:val="22"/>
          <w:szCs w:val="22"/>
        </w:rPr>
        <w:t>A8. Ethics</w:t>
      </w:r>
    </w:p>
    <w:p>
      <w:pPr>
        <w:pStyle w:val="Normal"/>
        <w:spacing w:lineRule="auto" w:line="300" w:before="80" w:after="80"/>
        <w:jc w:val="both"/>
        <w:rPr/>
      </w:pPr>
      <w:r>
        <w:rPr>
          <w:rFonts w:eastAsia="Arial" w:cs="Arial"/>
          <w:sz w:val="21"/>
          <w:szCs w:val="21"/>
        </w:rPr>
        <w:t>Submitted to the KNUST Committee on Human Research, Publications and Ethics (CHRPE) in March 2026; reference number pending. No student data collection commenced before institutional permission was confirmed. All 298 participants provided written informed consent via a mandatory form checkbox.</w:t>
      </w:r>
    </w:p>
    <w:p>
      <w:pPr>
        <w:pStyle w:val="Normal"/>
        <w:rPr/>
      </w:pPr>
      <w:r>
        <w:rPr/>
      </w:r>
      <w:r>
        <w:br w:type="page"/>
      </w:r>
    </w:p>
    <w:p>
      <w:pPr>
        <w:pStyle w:val="Heading1"/>
        <w:spacing w:before="0" w:after="100"/>
        <w:rPr/>
      </w:pPr>
      <w:r>
        <w:rPr>
          <w:rFonts w:eastAsia="Arial" w:cs="Arial" w:ascii="Arial" w:hAnsi="Arial"/>
          <w:b/>
          <w:bCs/>
          <w:color w:val="2E4099"/>
          <w:sz w:val="26"/>
          <w:szCs w:val="26"/>
        </w:rPr>
        <w:t>PART B — RESULTS AND ANALYSIS</w:t>
      </w:r>
    </w:p>
    <w:p>
      <w:pPr>
        <w:pStyle w:val="Normal"/>
        <w:spacing w:lineRule="auto" w:line="300" w:before="80" w:after="80"/>
        <w:jc w:val="both"/>
        <w:rPr/>
      </w:pPr>
      <w:r>
        <w:rPr>
          <w:rFonts w:eastAsia="Arial" w:cs="Arial"/>
          <w:sz w:val="21"/>
          <w:szCs w:val="21"/>
        </w:rPr>
        <w:t>All results below are computed under the single canonical pipeline (commit 9bb5d95). No causal or interpretive language is used; the ablation table demonstrates the engineered component's contribution directly rather than through prose assertion.</w:t>
      </w:r>
    </w:p>
    <w:p>
      <w:pPr>
        <w:pStyle w:val="Heading2"/>
        <w:spacing w:before="200" w:after="80"/>
        <w:rPr/>
      </w:pPr>
      <w:r>
        <w:rPr>
          <w:rFonts w:eastAsia="Arial" w:cs="Arial" w:ascii="Arial" w:hAnsi="Arial"/>
          <w:b/>
          <w:bCs/>
          <w:color w:val="1F3070"/>
          <w:sz w:val="22"/>
          <w:szCs w:val="22"/>
        </w:rPr>
        <w:t>B1. Model Engineering Results</w:t>
      </w:r>
    </w:p>
    <w:tbl>
      <w:tblPr>
        <w:tblW w:w="9360" w:type="dxa"/>
        <w:jc w:val="start"/>
        <w:tblInd w:w="0" w:type="dxa"/>
        <w:tblLayout w:type="fixed"/>
        <w:tblCellMar>
          <w:top w:w="70" w:type="dxa"/>
          <w:start w:w="100" w:type="dxa"/>
          <w:bottom w:w="70" w:type="dxa"/>
          <w:end w:w="100" w:type="dxa"/>
        </w:tblCellMar>
      </w:tblPr>
      <w:tblGrid>
        <w:gridCol w:w="3200"/>
        <w:gridCol w:w="2079"/>
        <w:gridCol w:w="2080"/>
        <w:gridCol w:w="2001"/>
      </w:tblGrid>
      <w:tr>
        <w:trPr>
          <w:tblHeader w:val="true"/>
        </w:trPr>
        <w:tc>
          <w:tcPr>
            <w:tcW w:w="32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Metric</w:t>
            </w:r>
          </w:p>
        </w:tc>
        <w:tc>
          <w:tcPr>
            <w:tcW w:w="207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Baseline</w:t>
            </w:r>
          </w:p>
        </w:tc>
        <w:tc>
          <w:tcPr>
            <w:tcW w:w="208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Engineered</w:t>
            </w:r>
          </w:p>
        </w:tc>
        <w:tc>
          <w:tcPr>
            <w:tcW w:w="200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Statistic</w:t>
            </w:r>
          </w:p>
        </w:tc>
      </w:tr>
      <w:tr>
        <w:trPr/>
        <w:tc>
          <w:tcPr>
            <w:tcW w:w="3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Macro F1 (mean ± SD)</w:t>
            </w:r>
          </w:p>
        </w:tc>
        <w:tc>
          <w:tcPr>
            <w:tcW w:w="207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0.1976 ± 0.0836</w:t>
            </w:r>
          </w:p>
        </w:tc>
        <w:tc>
          <w:tcPr>
            <w:tcW w:w="208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0.7074 ± 0.1306</w:t>
            </w:r>
          </w:p>
        </w:tc>
        <w:tc>
          <w:tcPr>
            <w:tcW w:w="20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+0.5098 (+258.0%)</w:t>
            </w:r>
          </w:p>
        </w:tc>
      </w:tr>
      <w:tr>
        <w:trPr/>
        <w:tc>
          <w:tcPr>
            <w:tcW w:w="320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Wilcoxon signed-rank p</w:t>
            </w:r>
          </w:p>
        </w:tc>
        <w:tc>
          <w:tcPr>
            <w:tcW w:w="207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c>
          <w:tcPr>
            <w:tcW w:w="208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c>
          <w:tcPr>
            <w:tcW w:w="200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p = 0.000088 ✓</w:t>
            </w:r>
          </w:p>
        </w:tc>
      </w:tr>
      <w:tr>
        <w:trPr/>
        <w:tc>
          <w:tcPr>
            <w:tcW w:w="3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Cohen's d</w:t>
            </w:r>
          </w:p>
        </w:tc>
        <w:tc>
          <w:tcPr>
            <w:tcW w:w="207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w:t>
            </w:r>
          </w:p>
        </w:tc>
        <w:tc>
          <w:tcPr>
            <w:tcW w:w="208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w:t>
            </w:r>
          </w:p>
        </w:tc>
        <w:tc>
          <w:tcPr>
            <w:tcW w:w="20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d = 3.0005 (very large)</w:t>
            </w:r>
          </w:p>
        </w:tc>
      </w:tr>
    </w:tbl>
    <w:p>
      <w:pPr>
        <w:pStyle w:val="Normal"/>
        <w:spacing w:before="40" w:after="80"/>
        <w:jc w:val="center"/>
        <w:rPr/>
      </w:pPr>
      <w:r>
        <w:rPr>
          <w:rFonts w:eastAsia="Arial" w:cs="Arial"/>
          <w:i/>
          <w:iCs/>
          <w:color w:val="666666"/>
          <w:sz w:val="18"/>
          <w:szCs w:val="18"/>
        </w:rPr>
        <w:t>Table B1. Baseline vs engineered classifier, 20 seeded runs.</w:t>
      </w:r>
    </w:p>
    <w:p>
      <w:pPr>
        <w:pStyle w:val="Heading2"/>
        <w:spacing w:before="200" w:after="80"/>
        <w:rPr/>
      </w:pPr>
      <w:r>
        <w:rPr>
          <w:rFonts w:eastAsia="Arial" w:cs="Arial" w:ascii="Arial" w:hAnsi="Arial"/>
          <w:b/>
          <w:bCs/>
          <w:color w:val="1F3070"/>
          <w:sz w:val="22"/>
          <w:szCs w:val="22"/>
        </w:rPr>
        <w:t>B2. Ablation Study</w:t>
      </w:r>
    </w:p>
    <w:p>
      <w:pPr>
        <w:pStyle w:val="Normal"/>
        <w:spacing w:lineRule="auto" w:line="300" w:before="80" w:after="80"/>
        <w:jc w:val="both"/>
        <w:rPr/>
      </w:pPr>
      <w:r>
        <w:rPr>
          <w:rFonts w:eastAsia="Arial" w:cs="Arial"/>
          <w:sz w:val="21"/>
          <w:szCs w:val="21"/>
        </w:rPr>
        <w:t>Condition (C), weighted cross-entropy with uniform weights (wᵢ=1), is mathematically identical to standard cross-entropy — the weighted-loss formula reduces exactly to the unweighted formula when every weight equals one.</w:t>
      </w:r>
    </w:p>
    <w:tbl>
      <w:tblPr>
        <w:tblW w:w="9360" w:type="dxa"/>
        <w:jc w:val="start"/>
        <w:tblInd w:w="0" w:type="dxa"/>
        <w:tblLayout w:type="fixed"/>
        <w:tblCellMar>
          <w:top w:w="70" w:type="dxa"/>
          <w:start w:w="100" w:type="dxa"/>
          <w:bottom w:w="70" w:type="dxa"/>
          <w:end w:w="100" w:type="dxa"/>
        </w:tblCellMar>
      </w:tblPr>
      <w:tblGrid>
        <w:gridCol w:w="3800"/>
        <w:gridCol w:w="2000"/>
        <w:gridCol w:w="1779"/>
        <w:gridCol w:w="1781"/>
      </w:tblGrid>
      <w:tr>
        <w:trPr>
          <w:tblHeader w:val="true"/>
        </w:trPr>
        <w:tc>
          <w:tcPr>
            <w:tcW w:w="38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Condition</w:t>
            </w:r>
          </w:p>
        </w:tc>
        <w:tc>
          <w:tcPr>
            <w:tcW w:w="20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Macro F1</w:t>
            </w:r>
          </w:p>
        </w:tc>
        <w:tc>
          <w:tcPr>
            <w:tcW w:w="177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Δ vs Baseline</w:t>
            </w:r>
          </w:p>
        </w:tc>
        <w:tc>
          <w:tcPr>
            <w:tcW w:w="178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p-value</w:t>
            </w:r>
          </w:p>
        </w:tc>
      </w:tr>
      <w:tr>
        <w:trPr/>
        <w:tc>
          <w:tcPr>
            <w:tcW w:w="38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(A) Baseline (standard CE)</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0.1976 ± 0.0836</w:t>
            </w:r>
          </w:p>
        </w:tc>
        <w:tc>
          <w:tcPr>
            <w:tcW w:w="177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 xml:space="preserve">— </w:t>
            </w:r>
            <w:r>
              <w:rPr>
                <w:rFonts w:eastAsia="Arial" w:cs="Arial"/>
                <w:b w:val="false"/>
                <w:bCs w:val="false"/>
                <w:sz w:val="18"/>
                <w:szCs w:val="18"/>
              </w:rPr>
              <w:t>(reference)</w:t>
            </w:r>
          </w:p>
        </w:tc>
        <w:tc>
          <w:tcPr>
            <w:tcW w:w="178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r>
      <w:tr>
        <w:trPr/>
        <w:tc>
          <w:tcPr>
            <w:tcW w:w="38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(B) Engineered (computed weights)</w:t>
            </w:r>
          </w:p>
        </w:tc>
        <w:tc>
          <w:tcPr>
            <w:tcW w:w="20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0.7074 ± 0.1306</w:t>
            </w:r>
          </w:p>
        </w:tc>
        <w:tc>
          <w:tcPr>
            <w:tcW w:w="177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+0.5098</w:t>
            </w:r>
          </w:p>
        </w:tc>
        <w:tc>
          <w:tcPr>
            <w:tcW w:w="178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p = 0.000088 ✓</w:t>
            </w:r>
          </w:p>
        </w:tc>
      </w:tr>
      <w:tr>
        <w:trPr/>
        <w:tc>
          <w:tcPr>
            <w:tcW w:w="38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(C) Ablated (uniform weights)</w:t>
            </w:r>
          </w:p>
        </w:tc>
        <w:tc>
          <w:tcPr>
            <w:tcW w:w="20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0.1976 ± 0.0836</w:t>
            </w:r>
          </w:p>
        </w:tc>
        <w:tc>
          <w:tcPr>
            <w:tcW w:w="177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+0.0000 (identical)</w:t>
            </w:r>
          </w:p>
        </w:tc>
        <w:tc>
          <w:tcPr>
            <w:tcW w:w="178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undefined (zero variance)</w:t>
            </w:r>
          </w:p>
        </w:tc>
      </w:tr>
    </w:tbl>
    <w:p>
      <w:pPr>
        <w:pStyle w:val="Normal"/>
        <w:spacing w:before="40" w:after="80"/>
        <w:jc w:val="center"/>
        <w:rPr/>
      </w:pPr>
      <w:r>
        <w:rPr>
          <w:rFonts w:eastAsia="Arial" w:cs="Arial"/>
          <w:i/>
          <w:iCs/>
          <w:color w:val="666666"/>
          <w:sz w:val="18"/>
          <w:szCs w:val="18"/>
        </w:rPr>
        <w:t>Table B2. Ablation study. Condition C is mathematically equivalent to Condition A.</w:t>
      </w:r>
    </w:p>
    <w:p>
      <w:pPr>
        <w:pStyle w:val="Heading2"/>
        <w:spacing w:before="200" w:after="80"/>
        <w:rPr/>
      </w:pPr>
      <w:r>
        <w:rPr>
          <w:rFonts w:eastAsia="Arial" w:cs="Arial" w:ascii="Arial" w:hAnsi="Arial"/>
          <w:b/>
          <w:bCs/>
          <w:color w:val="1F3070"/>
          <w:sz w:val="22"/>
          <w:szCs w:val="22"/>
        </w:rPr>
        <w:t>B3. Base Rate and Per-Class Recall</w:t>
      </w:r>
    </w:p>
    <w:tbl>
      <w:tblPr>
        <w:tblW w:w="9360" w:type="dxa"/>
        <w:jc w:val="start"/>
        <w:tblInd w:w="0" w:type="dxa"/>
        <w:tblLayout w:type="fixed"/>
        <w:tblCellMar>
          <w:top w:w="70" w:type="dxa"/>
          <w:start w:w="100" w:type="dxa"/>
          <w:bottom w:w="70" w:type="dxa"/>
          <w:end w:w="100" w:type="dxa"/>
        </w:tblCellMar>
      </w:tblPr>
      <w:tblGrid>
        <w:gridCol w:w="2799"/>
        <w:gridCol w:w="1641"/>
        <w:gridCol w:w="1640"/>
        <w:gridCol w:w="1640"/>
        <w:gridCol w:w="1640"/>
      </w:tblGrid>
      <w:tr>
        <w:trPr>
          <w:tblHeader w:val="true"/>
        </w:trPr>
        <w:tc>
          <w:tcPr>
            <w:tcW w:w="279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Intent Class</w:t>
            </w:r>
          </w:p>
        </w:tc>
        <w:tc>
          <w:tcPr>
            <w:tcW w:w="164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n (train)</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Base Rate</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Recall (seed 42)</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Support (test)</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Definition</w:t>
            </w:r>
          </w:p>
        </w:tc>
        <w:tc>
          <w:tcPr>
            <w:tcW w:w="164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83</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0.5724</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0.6923</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13</w:t>
            </w:r>
          </w:p>
        </w:tc>
      </w:tr>
      <w:tr>
        <w:trPr/>
        <w:tc>
          <w:tcPr>
            <w:tcW w:w="2799"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Explanation</w:t>
            </w:r>
          </w:p>
        </w:tc>
        <w:tc>
          <w:tcPr>
            <w:tcW w:w="1641"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24</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0.1655</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0.0000</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4</w:t>
            </w:r>
          </w:p>
        </w:tc>
      </w:tr>
      <w:tr>
        <w:trPr/>
        <w:tc>
          <w:tcPr>
            <w:tcW w:w="2799"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Identification</w:t>
            </w:r>
          </w:p>
        </w:tc>
        <w:tc>
          <w:tcPr>
            <w:tcW w:w="1641"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5</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0.0345</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0.0000</w:t>
            </w:r>
          </w:p>
        </w:tc>
        <w:tc>
          <w:tcPr>
            <w:tcW w:w="164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1</w:t>
            </w:r>
          </w:p>
        </w:tc>
      </w:tr>
      <w:tr>
        <w:trPr/>
        <w:tc>
          <w:tcPr>
            <w:tcW w:w="279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Procedural</w:t>
            </w:r>
          </w:p>
        </w:tc>
        <w:tc>
          <w:tcPr>
            <w:tcW w:w="164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23</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0.1586</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0.6667</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3</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Out-of-scope</w:t>
            </w:r>
          </w:p>
        </w:tc>
        <w:tc>
          <w:tcPr>
            <w:tcW w:w="164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10</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0.0690</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1.0000</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1</w:t>
            </w:r>
          </w:p>
        </w:tc>
      </w:tr>
    </w:tbl>
    <w:p>
      <w:pPr>
        <w:pStyle w:val="Normal"/>
        <w:spacing w:before="40" w:after="80"/>
        <w:jc w:val="center"/>
        <w:rPr/>
      </w:pPr>
      <w:r>
        <w:rPr>
          <w:rFonts w:eastAsia="Arial" w:cs="Arial"/>
          <w:i/>
          <w:iCs/>
          <w:color w:val="666666"/>
          <w:sz w:val="18"/>
          <w:szCs w:val="18"/>
        </w:rPr>
        <w:t>Table B3. Base rate and per-class recall, seed 42. Red = zero-recall classes; both have n≤4 test support.</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6400800" cy="286956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6400800" cy="2869565"/>
                    </a:xfrm>
                    <a:prstGeom prst="rect">
                      <a:avLst/>
                    </a:prstGeom>
                    <a:noFill/>
                  </pic:spPr>
                </pic:pic>
              </a:graphicData>
            </a:graphic>
          </wp:anchor>
        </w:drawing>
        <w:drawing>
          <wp:anchor distT="0" distB="0" distL="0" distR="0" simplePos="0" relativeHeight="6" behindDoc="0" locked="0" layoutInCell="0" allowOverlap="1">
            <wp:simplePos x="0" y="0"/>
            <wp:positionH relativeFrom="column">
              <wp:posOffset>55245</wp:posOffset>
            </wp:positionH>
            <wp:positionV relativeFrom="paragraph">
              <wp:posOffset>3091180</wp:posOffset>
            </wp:positionV>
            <wp:extent cx="6400800" cy="227457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6400800" cy="2274570"/>
                    </a:xfrm>
                    <a:prstGeom prst="rect">
                      <a:avLst/>
                    </a:prstGeom>
                    <a:noFill/>
                  </pic:spPr>
                </pic:pic>
              </a:graphicData>
            </a:graphic>
          </wp:anchor>
        </w:drawing>
      </w:r>
      <w:r>
        <w:rPr>
          <w:rFonts w:eastAsia="Arial" w:cs="Arial"/>
          <w:b/>
          <w:bCs/>
          <w:color w:val="2E4099"/>
          <w:sz w:val="19"/>
          <w:szCs w:val="19"/>
        </w:rPr>
        <w:br/>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t>confusion_matrices_v3.png and convergence_v3.png — baseline vs engineered, seed 42.</w:t>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Heading2"/>
        <w:spacing w:before="200" w:after="80"/>
        <w:rPr/>
      </w:pPr>
      <w:r>
        <w:rPr>
          <w:rFonts w:eastAsia="Arial" w:cs="Arial" w:ascii="Arial" w:hAnsi="Arial"/>
          <w:b/>
          <w:bCs/>
          <w:color w:val="1F3070"/>
          <w:sz w:val="22"/>
          <w:szCs w:val="22"/>
        </w:rPr>
        <w:t>B4. Discriminative Feature Analysis</w:t>
      </w:r>
    </w:p>
    <w:p>
      <w:pPr>
        <w:pStyle w:val="Normal"/>
        <w:spacing w:lineRule="auto" w:line="300" w:before="80" w:after="80"/>
        <w:jc w:val="both"/>
        <w:rPr/>
      </w:pPr>
      <w:r>
        <w:rPr>
          <w:rFonts w:eastAsia="Arial" w:cs="Arial"/>
          <w:sz w:val="21"/>
          <w:szCs w:val="21"/>
        </w:rPr>
        <w:t>First-layer weight magnitude analysis on the deployment model (seed 789) confirms the Out-of-scope class is driven by lexically distinct out-of-domain tokens (e.g. 'president', 'capital', 'football') absent from the other four classes.</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6400800" cy="190436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6400800" cy="1904365"/>
                    </a:xfrm>
                    <a:prstGeom prst="rect">
                      <a:avLst/>
                    </a:prstGeom>
                    <a:noFill/>
                  </pic:spPr>
                </pic:pic>
              </a:graphicData>
            </a:graphic>
          </wp:anchor>
        </w:drawing>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t>feature_importance_v3.png — top discriminative TF-IDF features per intent class, deployment seed.</w:t>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Heading2"/>
        <w:spacing w:before="200" w:after="80"/>
        <w:rPr>
          <w:rFonts w:ascii="Arial" w:hAnsi="Arial" w:eastAsia="Arial" w:cs="Arial"/>
          <w:b/>
          <w:bCs/>
          <w:color w:val="1F3070"/>
          <w:sz w:val="22"/>
          <w:szCs w:val="22"/>
        </w:rPr>
      </w:pPr>
      <w:r>
        <w:rPr>
          <w:rFonts w:eastAsia="Arial" w:cs="Arial" w:ascii="Arial" w:hAnsi="Arial"/>
          <w:b/>
          <w:bCs/>
          <w:color w:val="1F3070"/>
          <w:sz w:val="22"/>
          <w:szCs w:val="22"/>
        </w:rPr>
        <w:t>B5. Precision-Recall and ROC</w:t>
      </w:r>
    </w:p>
    <w:p>
      <w:pPr>
        <w:pStyle w:val="Heading2"/>
        <w:spacing w:before="200" w:after="80"/>
        <w:rPr>
          <w:rFonts w:ascii="Arial" w:hAnsi="Arial" w:eastAsia="Arial" w:cs="Arial"/>
          <w:b/>
          <w:bCs/>
          <w:color w:val="1F3070"/>
          <w:sz w:val="22"/>
          <w:szCs w:val="22"/>
        </w:rPr>
      </w:pPr>
      <w:r>
        <w:rPr>
          <w:rFonts w:eastAsia="Arial" w:cs="Arial" w:ascii="Arial" w:hAnsi="Arial"/>
          <w:b/>
          <w:bCs/>
          <w:color w:val="1F3070"/>
          <w:sz w:val="22"/>
          <w:szCs w:val="22"/>
        </w:rPr>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6400800" cy="272351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6400800" cy="2723515"/>
                    </a:xfrm>
                    <a:prstGeom prst="rect">
                      <a:avLst/>
                    </a:prstGeom>
                    <a:noFill/>
                  </pic:spPr>
                </pic:pic>
              </a:graphicData>
            </a:graphic>
          </wp:anchor>
        </w:drawing>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t>pr_roc_v3.png — deployment seed (789), one-vs-rest per class.</w:t>
      </w:r>
    </w:p>
    <w:p>
      <w:pPr>
        <w:pStyle w:val="Normal"/>
        <w:spacing w:before="40" w:after="80"/>
        <w:jc w:val="center"/>
        <w:rPr>
          <w:rFonts w:ascii="Arial" w:hAnsi="Arial" w:eastAsia="Arial" w:cs="Arial"/>
          <w:i/>
          <w:iCs/>
          <w:color w:val="666666"/>
          <w:sz w:val="18"/>
          <w:szCs w:val="18"/>
        </w:rPr>
      </w:pPr>
      <w:r>
        <w:rPr>
          <w:rFonts w:eastAsia="Arial" w:cs="Arial"/>
          <w:i/>
          <w:iCs/>
          <w:color w:val="666666"/>
          <w:sz w:val="18"/>
          <w:szCs w:val="18"/>
        </w:rPr>
      </w:r>
    </w:p>
    <w:p>
      <w:pPr>
        <w:pStyle w:val="Heading2"/>
        <w:spacing w:before="200" w:after="80"/>
        <w:rPr/>
      </w:pPr>
      <w:r>
        <w:rPr>
          <w:rFonts w:eastAsia="Arial" w:cs="Arial" w:ascii="Arial" w:hAnsi="Arial"/>
          <w:b/>
          <w:bCs/>
          <w:color w:val="1F3070"/>
          <w:sz w:val="22"/>
          <w:szCs w:val="22"/>
        </w:rPr>
        <w:t>B6. Perturbation Analysis</w:t>
      </w:r>
    </w:p>
    <w:p>
      <w:pPr>
        <w:pStyle w:val="Normal"/>
        <w:spacing w:lineRule="auto" w:line="300" w:before="80" w:after="80"/>
        <w:jc w:val="both"/>
        <w:rPr/>
      </w:pPr>
      <w:r>
        <w:rPr>
          <w:rFonts w:eastAsia="Arial" w:cs="Arial"/>
          <w:sz w:val="21"/>
          <w:szCs w:val="21"/>
        </w:rPr>
        <w:t>Using the exact deployment model (seed 789) and its own test-fold queries/labels — verified by a self-test confirming the unperturbed condition exactly reproduces the seed's own reported test Macro F1 (0.9526, match confirmed).</w:t>
      </w:r>
    </w:p>
    <w:tbl>
      <w:tblPr>
        <w:tblW w:w="9360" w:type="dxa"/>
        <w:jc w:val="start"/>
        <w:tblInd w:w="0" w:type="dxa"/>
        <w:tblLayout w:type="fixed"/>
        <w:tblCellMar>
          <w:top w:w="70" w:type="dxa"/>
          <w:start w:w="100" w:type="dxa"/>
          <w:bottom w:w="70" w:type="dxa"/>
          <w:end w:w="100" w:type="dxa"/>
        </w:tblCellMar>
      </w:tblPr>
      <w:tblGrid>
        <w:gridCol w:w="3200"/>
        <w:gridCol w:w="1559"/>
        <w:gridCol w:w="2201"/>
        <w:gridCol w:w="2400"/>
      </w:tblGrid>
      <w:tr>
        <w:trPr>
          <w:tblHeader w:val="true"/>
        </w:trPr>
        <w:tc>
          <w:tcPr>
            <w:tcW w:w="32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Condition</w:t>
            </w:r>
          </w:p>
        </w:tc>
        <w:tc>
          <w:tcPr>
            <w:tcW w:w="155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n queries</w:t>
            </w:r>
          </w:p>
        </w:tc>
        <w:tc>
          <w:tcPr>
            <w:tcW w:w="220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Macro F1</w:t>
            </w:r>
          </w:p>
        </w:tc>
        <w:tc>
          <w:tcPr>
            <w:tcW w:w="24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Drop from Original</w:t>
            </w:r>
          </w:p>
        </w:tc>
      </w:tr>
      <w:tr>
        <w:trPr/>
        <w:tc>
          <w:tcPr>
            <w:tcW w:w="3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Original (self-test verified)</w:t>
            </w:r>
          </w:p>
        </w:tc>
        <w:tc>
          <w:tcPr>
            <w:tcW w:w="155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22</w:t>
            </w:r>
          </w:p>
        </w:tc>
        <w:tc>
          <w:tcPr>
            <w:tcW w:w="22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0.9526</w:t>
            </w:r>
          </w:p>
        </w:tc>
        <w:tc>
          <w:tcPr>
            <w:tcW w:w="24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 xml:space="preserve">— </w:t>
            </w:r>
            <w:r>
              <w:rPr>
                <w:rFonts w:eastAsia="Arial" w:cs="Arial"/>
                <w:b/>
                <w:bCs/>
                <w:sz w:val="18"/>
                <w:szCs w:val="18"/>
              </w:rPr>
              <w:t>(0.9526 match confirmed)</w:t>
            </w:r>
          </w:p>
        </w:tc>
      </w:tr>
      <w:tr>
        <w:trPr/>
        <w:tc>
          <w:tcPr>
            <w:tcW w:w="32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Paraphrased</w:t>
            </w:r>
          </w:p>
        </w:tc>
        <w:tc>
          <w:tcPr>
            <w:tcW w:w="1559"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22</w:t>
            </w:r>
          </w:p>
        </w:tc>
        <w:tc>
          <w:tcPr>
            <w:tcW w:w="2201"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0.7365</w:t>
            </w:r>
          </w:p>
        </w:tc>
        <w:tc>
          <w:tcPr>
            <w:tcW w:w="24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w:t>
            </w:r>
            <w:r>
              <w:rPr>
                <w:rFonts w:eastAsia="Arial" w:cs="Arial"/>
                <w:b w:val="false"/>
                <w:bCs w:val="false"/>
                <w:sz w:val="18"/>
                <w:szCs w:val="18"/>
              </w:rPr>
              <w:t>0.2161</w:t>
            </w:r>
          </w:p>
        </w:tc>
      </w:tr>
      <w:tr>
        <w:trPr/>
        <w:tc>
          <w:tcPr>
            <w:tcW w:w="32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Ghanaian English phrasing</w:t>
            </w:r>
          </w:p>
        </w:tc>
        <w:tc>
          <w:tcPr>
            <w:tcW w:w="155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22</w:t>
            </w:r>
          </w:p>
        </w:tc>
        <w:tc>
          <w:tcPr>
            <w:tcW w:w="220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0.7107</w:t>
            </w:r>
          </w:p>
        </w:tc>
        <w:tc>
          <w:tcPr>
            <w:tcW w:w="240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w:t>
            </w:r>
            <w:r>
              <w:rPr>
                <w:rFonts w:eastAsia="Arial" w:cs="Arial"/>
                <w:b w:val="false"/>
                <w:bCs w:val="false"/>
                <w:sz w:val="18"/>
                <w:szCs w:val="18"/>
              </w:rPr>
              <w:t>0.2419</w:t>
            </w:r>
          </w:p>
        </w:tc>
      </w:tr>
      <w:tr>
        <w:trPr/>
        <w:tc>
          <w:tcPr>
            <w:tcW w:w="32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Typos / abbreviations</w:t>
            </w:r>
          </w:p>
        </w:tc>
        <w:tc>
          <w:tcPr>
            <w:tcW w:w="1559"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22</w:t>
            </w:r>
          </w:p>
        </w:tc>
        <w:tc>
          <w:tcPr>
            <w:tcW w:w="2201"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0.7107</w:t>
            </w:r>
          </w:p>
        </w:tc>
        <w:tc>
          <w:tcPr>
            <w:tcW w:w="2400" w:type="dxa"/>
            <w:tcBorders>
              <w:top w:val="single" w:sz="2" w:space="0" w:color="CCCCCC"/>
              <w:start w:val="single" w:sz="2" w:space="0" w:color="CCCCCC"/>
              <w:bottom w:val="single" w:sz="2" w:space="0" w:color="CCCCCC"/>
              <w:end w:val="single" w:sz="2" w:space="0" w:color="CCCCCC"/>
            </w:tcBorders>
            <w:shd w:fill="FADBD8" w:val="clear"/>
            <w:tcMar>
              <w:top w:w="60" w:type="dxa"/>
              <w:bottom w:w="60" w:type="dxa"/>
            </w:tcMar>
            <w:vAlign w:val="center"/>
          </w:tcPr>
          <w:p>
            <w:pPr>
              <w:pStyle w:val="Normal"/>
              <w:spacing w:before="30" w:after="30"/>
              <w:jc w:val="center"/>
              <w:rPr/>
            </w:pPr>
            <w:r>
              <w:rPr>
                <w:rFonts w:eastAsia="Arial" w:cs="Arial"/>
                <w:b w:val="false"/>
                <w:bCs w:val="false"/>
                <w:sz w:val="18"/>
                <w:szCs w:val="18"/>
              </w:rPr>
              <w:t>−</w:t>
            </w:r>
            <w:r>
              <w:rPr>
                <w:rFonts w:eastAsia="Arial" w:cs="Arial"/>
                <w:b w:val="false"/>
                <w:bCs w:val="false"/>
                <w:sz w:val="18"/>
                <w:szCs w:val="18"/>
              </w:rPr>
              <w:t>0.2419</w:t>
            </w:r>
          </w:p>
        </w:tc>
      </w:tr>
    </w:tbl>
    <w:p>
      <w:pPr>
        <w:pStyle w:val="Normal"/>
        <w:spacing w:before="40" w:after="80"/>
        <w:jc w:val="center"/>
        <w:rPr/>
      </w:pPr>
      <w:r>
        <w:rPr>
          <w:rFonts w:eastAsia="Arial" w:cs="Arial"/>
          <w:i/>
          <w:iCs/>
          <w:color w:val="666666"/>
          <w:sz w:val="18"/>
          <w:szCs w:val="18"/>
        </w:rPr>
        <w:t>Table B4. Perturbation analysis on the deployment seed. All three perturbation types show measurable degradation.</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6400800" cy="314833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6400800" cy="3148330"/>
                    </a:xfrm>
                    <a:prstGeom prst="rect">
                      <a:avLst/>
                    </a:prstGeom>
                    <a:noFill/>
                  </pic:spPr>
                </pic:pic>
              </a:graphicData>
            </a:graphic>
          </wp:anchor>
        </w:drawing>
      </w:r>
    </w:p>
    <w:p>
      <w:pPr>
        <w:pStyle w:val="Normal"/>
        <w:spacing w:before="40" w:after="80"/>
        <w:jc w:val="center"/>
        <w:rPr/>
      </w:pPr>
      <w:r>
        <w:rPr>
          <w:rFonts w:eastAsia="Arial" w:cs="Arial"/>
          <w:i/>
          <w:iCs/>
          <w:color w:val="666666"/>
          <w:sz w:val="18"/>
          <w:szCs w:val="18"/>
        </w:rPr>
        <w:t>perturbation_v3.png</w:t>
      </w:r>
    </w:p>
    <w:p>
      <w:pPr>
        <w:pStyle w:val="Heading2"/>
        <w:spacing w:before="200" w:after="80"/>
        <w:rPr/>
      </w:pPr>
      <w:r>
        <w:rPr>
          <w:rFonts w:eastAsia="Arial" w:cs="Arial" w:ascii="Arial" w:hAnsi="Arial"/>
          <w:b/>
          <w:bCs/>
          <w:color w:val="1F3070"/>
          <w:sz w:val="22"/>
          <w:szCs w:val="22"/>
        </w:rPr>
        <w:t>B7. Gold-Standard RAG Evaluation</w:t>
      </w:r>
    </w:p>
    <w:tbl>
      <w:tblPr>
        <w:tblW w:w="9360" w:type="dxa"/>
        <w:jc w:val="start"/>
        <w:tblInd w:w="0" w:type="dxa"/>
        <w:tblLayout w:type="fixed"/>
        <w:tblCellMar>
          <w:top w:w="70" w:type="dxa"/>
          <w:start w:w="100" w:type="dxa"/>
          <w:bottom w:w="70" w:type="dxa"/>
          <w:end w:w="100" w:type="dxa"/>
        </w:tblCellMar>
      </w:tblPr>
      <w:tblGrid>
        <w:gridCol w:w="2799"/>
        <w:gridCol w:w="1641"/>
        <w:gridCol w:w="1640"/>
        <w:gridCol w:w="1640"/>
        <w:gridCol w:w="1640"/>
      </w:tblGrid>
      <w:tr>
        <w:trPr>
          <w:tblHeader w:val="true"/>
        </w:trPr>
        <w:tc>
          <w:tcPr>
            <w:tcW w:w="279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System</w:t>
            </w:r>
          </w:p>
        </w:tc>
        <w:tc>
          <w:tcPr>
            <w:tcW w:w="164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ROUGE-L</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BERTScore F1</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Empty gens</w:t>
            </w:r>
          </w:p>
        </w:tc>
        <w:tc>
          <w:tcPr>
            <w:tcW w:w="16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w:t>
            </w:r>
          </w:p>
        </w:tc>
      </w:tr>
      <w:tr>
        <w:trPr/>
        <w:tc>
          <w:tcPr>
            <w:tcW w:w="27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Nyansapo CRAG</w:t>
            </w:r>
          </w:p>
        </w:tc>
        <w:tc>
          <w:tcPr>
            <w:tcW w:w="164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0.2283 ± 0.1410</w:t>
            </w:r>
          </w:p>
        </w:tc>
        <w:tc>
          <w:tcPr>
            <w:tcW w:w="16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0.7897 ± 0.0753</w:t>
            </w:r>
          </w:p>
        </w:tc>
        <w:tc>
          <w:tcPr>
            <w:tcW w:w="16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w:t>
            </w:r>
          </w:p>
        </w:tc>
        <w:tc>
          <w:tcPr>
            <w:tcW w:w="16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w:t>
            </w:r>
          </w:p>
        </w:tc>
      </w:tr>
      <w:tr>
        <w:trPr/>
        <w:tc>
          <w:tcPr>
            <w:tcW w:w="279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Naive RAG</w:t>
            </w:r>
          </w:p>
        </w:tc>
        <w:tc>
          <w:tcPr>
            <w:tcW w:w="164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0.2244 ± 0.1478</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0.7825 ± 0.0973</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r>
      <w:tr>
        <w:trPr/>
        <w:tc>
          <w:tcPr>
            <w:tcW w:w="27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BM25 only</w:t>
            </w:r>
          </w:p>
        </w:tc>
        <w:tc>
          <w:tcPr>
            <w:tcW w:w="164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0.1733 ± 0.1364</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0.7515 ± 0.0984</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w:t>
            </w:r>
          </w:p>
        </w:tc>
        <w:tc>
          <w:tcPr>
            <w:tcW w:w="16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r>
      <w:tr>
        <w:trPr/>
        <w:tc>
          <w:tcPr>
            <w:tcW w:w="279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Vanilla LLM</w:t>
            </w:r>
          </w:p>
        </w:tc>
        <w:tc>
          <w:tcPr>
            <w:tcW w:w="164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0.2080 ± 0.0663</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0.7963 ± 0.0318</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w:t>
            </w:r>
          </w:p>
        </w:tc>
        <w:tc>
          <w:tcPr>
            <w:tcW w:w="16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w:t>
            </w:r>
          </w:p>
        </w:tc>
      </w:tr>
    </w:tbl>
    <w:p>
      <w:pPr>
        <w:pStyle w:val="Normal"/>
        <w:spacing w:before="40" w:after="80"/>
        <w:jc w:val="center"/>
        <w:rPr/>
      </w:pPr>
      <w:r>
        <w:rPr>
          <w:rFonts w:eastAsia="Arial" w:cs="Arial"/>
          <w:i/>
          <w:iCs/>
          <w:color w:val="666666"/>
          <w:sz w:val="18"/>
          <w:szCs w:val="18"/>
        </w:rPr>
        <w:t>Table B5. Gold-standard evaluation, n=200. Zero empty generations across all four systems.</w:t>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r>
    </w:p>
    <w:p>
      <w:pPr>
        <w:pStyle w:val="Normal"/>
        <w:spacing w:before="100" w:after="60"/>
        <w:jc w:val="center"/>
        <w:rPr>
          <w:rFonts w:ascii="Arial" w:hAnsi="Arial" w:eastAsia="Arial" w:cs="Arial"/>
          <w:b/>
          <w:bCs/>
          <w:color w:val="2E4099"/>
          <w:sz w:val="19"/>
          <w:szCs w:val="19"/>
        </w:rPr>
      </w:pPr>
      <w:r>
        <w:rPr>
          <w:rFonts w:eastAsia="Arial" w:cs="Arial"/>
          <w:b/>
          <w:bCs/>
          <w:color w:val="2E4099"/>
          <w:sz w:val="19"/>
          <w:szCs w:val="19"/>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6400800" cy="2727325"/>
            <wp:effectExtent l="0" t="0" r="0" b="0"/>
            <wp:wrapSquare wrapText="largest"/>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6400800" cy="2727325"/>
                    </a:xfrm>
                    <a:prstGeom prst="rect">
                      <a:avLst/>
                    </a:prstGeom>
                    <a:noFill/>
                  </pic:spPr>
                </pic:pic>
              </a:graphicData>
            </a:graphic>
          </wp:anchor>
        </w:drawing>
      </w:r>
    </w:p>
    <w:p>
      <w:pPr>
        <w:pStyle w:val="Normal"/>
        <w:spacing w:before="40" w:after="80"/>
        <w:jc w:val="center"/>
        <w:rPr/>
      </w:pPr>
      <w:r>
        <w:rPr>
          <w:rFonts w:eastAsia="Arial" w:cs="Arial"/>
          <w:i/>
          <w:iCs/>
          <w:color w:val="666666"/>
          <w:sz w:val="18"/>
          <w:szCs w:val="18"/>
        </w:rPr>
        <w:t>gold_eval_v3.png</w:t>
      </w:r>
    </w:p>
    <w:p>
      <w:pPr>
        <w:pStyle w:val="Heading2"/>
        <w:spacing w:before="200" w:after="80"/>
        <w:rPr/>
      </w:pPr>
      <w:r>
        <w:rPr>
          <w:rFonts w:eastAsia="Arial" w:cs="Arial" w:ascii="Arial" w:hAnsi="Arial"/>
          <w:b/>
          <w:bCs/>
          <w:color w:val="1F3070"/>
          <w:sz w:val="22"/>
          <w:szCs w:val="22"/>
        </w:rPr>
        <w:t>B8. Statistical Comparison</w:t>
      </w:r>
    </w:p>
    <w:tbl>
      <w:tblPr>
        <w:tblW w:w="9360" w:type="dxa"/>
        <w:jc w:val="start"/>
        <w:tblInd w:w="0" w:type="dxa"/>
        <w:tblLayout w:type="fixed"/>
        <w:tblCellMar>
          <w:top w:w="70" w:type="dxa"/>
          <w:start w:w="100" w:type="dxa"/>
          <w:bottom w:w="70" w:type="dxa"/>
          <w:end w:w="100" w:type="dxa"/>
        </w:tblCellMar>
      </w:tblPr>
      <w:tblGrid>
        <w:gridCol w:w="2597"/>
        <w:gridCol w:w="1588"/>
        <w:gridCol w:w="1589"/>
        <w:gridCol w:w="1588"/>
        <w:gridCol w:w="1998"/>
      </w:tblGrid>
      <w:tr>
        <w:trPr>
          <w:tblHeader w:val="true"/>
        </w:trPr>
        <w:tc>
          <w:tcPr>
            <w:tcW w:w="2597"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Contrast</w:t>
            </w:r>
          </w:p>
        </w:tc>
        <w:tc>
          <w:tcPr>
            <w:tcW w:w="1588"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ROUGE-L p</w:t>
            </w:r>
          </w:p>
        </w:tc>
        <w:tc>
          <w:tcPr>
            <w:tcW w:w="158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Cohen's d</w:t>
            </w:r>
          </w:p>
        </w:tc>
        <w:tc>
          <w:tcPr>
            <w:tcW w:w="1588"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BERTScore p</w:t>
            </w:r>
          </w:p>
        </w:tc>
        <w:tc>
          <w:tcPr>
            <w:tcW w:w="1998"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Verdict</w:t>
            </w:r>
          </w:p>
        </w:tc>
      </w:tr>
      <w:tr>
        <w:trPr/>
        <w:tc>
          <w:tcPr>
            <w:tcW w:w="2597"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CRAG vs BM25</w:t>
            </w:r>
          </w:p>
        </w:tc>
        <w:tc>
          <w:tcPr>
            <w:tcW w:w="158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0.000001</w:t>
            </w:r>
          </w:p>
        </w:tc>
        <w:tc>
          <w:tcPr>
            <w:tcW w:w="158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0.396</w:t>
            </w:r>
          </w:p>
        </w:tc>
        <w:tc>
          <w:tcPr>
            <w:tcW w:w="158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0.000007</w:t>
            </w:r>
          </w:p>
        </w:tc>
        <w:tc>
          <w:tcPr>
            <w:tcW w:w="1998"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Significant</w:t>
            </w:r>
          </w:p>
        </w:tc>
      </w:tr>
      <w:tr>
        <w:trPr/>
        <w:tc>
          <w:tcPr>
            <w:tcW w:w="2597"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CRAG vs Vanilla</w:t>
            </w:r>
          </w:p>
        </w:tc>
        <w:tc>
          <w:tcPr>
            <w:tcW w:w="1588"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0.055630</w:t>
            </w:r>
          </w:p>
        </w:tc>
        <w:tc>
          <w:tcPr>
            <w:tcW w:w="158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0.184</w:t>
            </w:r>
          </w:p>
        </w:tc>
        <w:tc>
          <w:tcPr>
            <w:tcW w:w="1588"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0.325</w:t>
            </w:r>
          </w:p>
        </w:tc>
        <w:tc>
          <w:tcPr>
            <w:tcW w:w="1998"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Inconclusive</w:t>
            </w:r>
          </w:p>
        </w:tc>
      </w:tr>
      <w:tr>
        <w:trPr/>
        <w:tc>
          <w:tcPr>
            <w:tcW w:w="2597"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CRAG vs Naive</w:t>
            </w:r>
          </w:p>
        </w:tc>
        <w:tc>
          <w:tcPr>
            <w:tcW w:w="158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0.554468</w:t>
            </w:r>
          </w:p>
        </w:tc>
        <w:tc>
          <w:tcPr>
            <w:tcW w:w="158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0.026</w:t>
            </w:r>
          </w:p>
        </w:tc>
        <w:tc>
          <w:tcPr>
            <w:tcW w:w="158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0.452</w:t>
            </w:r>
          </w:p>
        </w:tc>
        <w:tc>
          <w:tcPr>
            <w:tcW w:w="1998"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Inconclusive</w:t>
            </w:r>
          </w:p>
        </w:tc>
      </w:tr>
    </w:tbl>
    <w:p>
      <w:pPr>
        <w:pStyle w:val="Normal"/>
        <w:spacing w:before="40" w:after="80"/>
        <w:jc w:val="center"/>
        <w:rPr/>
      </w:pPr>
      <w:r>
        <w:rPr>
          <w:rFonts w:eastAsia="Arial" w:cs="Arial"/>
          <w:i/>
          <w:iCs/>
          <w:color w:val="666666"/>
          <w:sz w:val="18"/>
          <w:szCs w:val="18"/>
        </w:rPr>
        <w:t>Table B6. Bonferroni-corrected α=0.0167.</w:t>
      </w:r>
    </w:p>
    <w:p>
      <w:pPr>
        <w:pStyle w:val="Normal"/>
        <w:spacing w:before="4" w:after="4"/>
        <w:rPr/>
      </w:pPr>
      <w:r>
        <w:rPr/>
      </w:r>
    </w:p>
    <w:p>
      <w:pPr>
        <w:pStyle w:val="Normal"/>
        <w:spacing w:lineRule="auto" w:line="300" w:before="80" w:after="80"/>
        <w:jc w:val="both"/>
        <w:rPr/>
      </w:pPr>
      <w:r>
        <w:rPr>
          <w:rFonts w:eastAsia="Arial" w:cs="Arial"/>
          <w:sz w:val="21"/>
          <w:szCs w:val="21"/>
        </w:rPr>
        <w:t>Minimum detectable effect analysis (CRAG vs Vanilla), as computed by the supervisor's own audit script (Block V1c): observed mean delta=0.0202, SD=0.1271, achieved power=0.4436 at n=200. 413 pairs would be required for 80% power. The result is inconclusive due to insufficient sample size, not evidence of no effect.</w:t>
      </w:r>
    </w:p>
    <w:p>
      <w:pPr>
        <w:pStyle w:val="Heading2"/>
        <w:spacing w:before="200" w:after="80"/>
        <w:rPr/>
      </w:pPr>
      <w:r>
        <w:rPr>
          <w:rFonts w:eastAsia="Arial" w:cs="Arial" w:ascii="Arial" w:hAnsi="Arial"/>
          <w:b/>
          <w:bCs/>
          <w:color w:val="1F3070"/>
          <w:sz w:val="22"/>
          <w:szCs w:val="22"/>
        </w:rPr>
        <w:t>B9. 5-Fold Cross-Validation and Fairness by Course</w:t>
      </w:r>
    </w:p>
    <w:tbl>
      <w:tblPr>
        <w:tblW w:w="9360" w:type="dxa"/>
        <w:jc w:val="start"/>
        <w:tblInd w:w="0" w:type="dxa"/>
        <w:tblLayout w:type="fixed"/>
        <w:tblCellMar>
          <w:top w:w="70" w:type="dxa"/>
          <w:start w:w="100" w:type="dxa"/>
          <w:bottom w:w="70" w:type="dxa"/>
          <w:end w:w="100" w:type="dxa"/>
        </w:tblCellMar>
      </w:tblPr>
      <w:tblGrid>
        <w:gridCol w:w="3399"/>
        <w:gridCol w:w="1001"/>
        <w:gridCol w:w="1240"/>
        <w:gridCol w:w="1239"/>
        <w:gridCol w:w="1240"/>
        <w:gridCol w:w="1241"/>
      </w:tblGrid>
      <w:tr>
        <w:trPr>
          <w:tblHeader w:val="true"/>
        </w:trPr>
        <w:tc>
          <w:tcPr>
            <w:tcW w:w="339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Course</w:t>
            </w:r>
          </w:p>
        </w:tc>
        <w:tc>
          <w:tcPr>
            <w:tcW w:w="100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n</w:t>
            </w:r>
          </w:p>
        </w:tc>
        <w:tc>
          <w:tcPr>
            <w:tcW w:w="12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CRAG</w:t>
            </w:r>
          </w:p>
        </w:tc>
        <w:tc>
          <w:tcPr>
            <w:tcW w:w="123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Naive</w:t>
            </w:r>
          </w:p>
        </w:tc>
        <w:tc>
          <w:tcPr>
            <w:tcW w:w="124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BM25</w:t>
            </w:r>
          </w:p>
        </w:tc>
        <w:tc>
          <w:tcPr>
            <w:tcW w:w="124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Vanilla</w:t>
            </w:r>
          </w:p>
        </w:tc>
      </w:tr>
      <w:tr>
        <w:trPr/>
        <w:tc>
          <w:tcPr>
            <w:tcW w:w="33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CSM 478 Computer Networks</w:t>
            </w:r>
          </w:p>
        </w:tc>
        <w:tc>
          <w:tcPr>
            <w:tcW w:w="10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0.2698</w:t>
            </w:r>
          </w:p>
        </w:tc>
        <w:tc>
          <w:tcPr>
            <w:tcW w:w="123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0.2560</w:t>
            </w:r>
          </w:p>
        </w:tc>
        <w:tc>
          <w:tcPr>
            <w:tcW w:w="12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0.1821</w:t>
            </w:r>
          </w:p>
        </w:tc>
        <w:tc>
          <w:tcPr>
            <w:tcW w:w="124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0.2162</w:t>
            </w:r>
          </w:p>
        </w:tc>
      </w:tr>
      <w:tr>
        <w:trPr/>
        <w:tc>
          <w:tcPr>
            <w:tcW w:w="339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Computer Security &amp; Pen. Testing</w:t>
            </w:r>
          </w:p>
        </w:tc>
        <w:tc>
          <w:tcPr>
            <w:tcW w:w="100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0.2478</w:t>
            </w:r>
          </w:p>
        </w:tc>
        <w:tc>
          <w:tcPr>
            <w:tcW w:w="123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0.2631</w:t>
            </w:r>
          </w:p>
        </w:tc>
        <w:tc>
          <w:tcPr>
            <w:tcW w:w="12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0.2221</w:t>
            </w:r>
          </w:p>
        </w:tc>
        <w:tc>
          <w:tcPr>
            <w:tcW w:w="124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0.1836</w:t>
            </w:r>
          </w:p>
        </w:tc>
      </w:tr>
      <w:tr>
        <w:trPr/>
        <w:tc>
          <w:tcPr>
            <w:tcW w:w="339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Expert Systems</w:t>
            </w:r>
          </w:p>
        </w:tc>
        <w:tc>
          <w:tcPr>
            <w:tcW w:w="100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0.2469</w:t>
            </w:r>
          </w:p>
        </w:tc>
        <w:tc>
          <w:tcPr>
            <w:tcW w:w="123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0.2360</w:t>
            </w:r>
          </w:p>
        </w:tc>
        <w:tc>
          <w:tcPr>
            <w:tcW w:w="124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0.1657</w:t>
            </w:r>
          </w:p>
        </w:tc>
        <w:tc>
          <w:tcPr>
            <w:tcW w:w="124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0.2008</w:t>
            </w:r>
          </w:p>
        </w:tc>
      </w:tr>
      <w:tr>
        <w:trPr/>
        <w:tc>
          <w:tcPr>
            <w:tcW w:w="339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Introduction to Compilers</w:t>
            </w:r>
          </w:p>
        </w:tc>
        <w:tc>
          <w:tcPr>
            <w:tcW w:w="100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0.1615</w:t>
            </w:r>
          </w:p>
        </w:tc>
        <w:tc>
          <w:tcPr>
            <w:tcW w:w="123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0.1347</w:t>
            </w:r>
          </w:p>
        </w:tc>
        <w:tc>
          <w:tcPr>
            <w:tcW w:w="124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0.1278</w:t>
            </w:r>
          </w:p>
        </w:tc>
        <w:tc>
          <w:tcPr>
            <w:tcW w:w="124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0.1951</w:t>
            </w:r>
          </w:p>
        </w:tc>
      </w:tr>
      <w:tr>
        <w:trPr/>
        <w:tc>
          <w:tcPr>
            <w:tcW w:w="339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MCS 472 Entrepreneurship</w:t>
            </w:r>
          </w:p>
        </w:tc>
        <w:tc>
          <w:tcPr>
            <w:tcW w:w="100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40</w:t>
            </w:r>
          </w:p>
        </w:tc>
        <w:tc>
          <w:tcPr>
            <w:tcW w:w="12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0.2153</w:t>
            </w:r>
          </w:p>
        </w:tc>
        <w:tc>
          <w:tcPr>
            <w:tcW w:w="1239"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0.2325</w:t>
            </w:r>
          </w:p>
        </w:tc>
        <w:tc>
          <w:tcPr>
            <w:tcW w:w="1240"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0.1690</w:t>
            </w:r>
          </w:p>
        </w:tc>
        <w:tc>
          <w:tcPr>
            <w:tcW w:w="1241" w:type="dxa"/>
            <w:tcBorders>
              <w:top w:val="single" w:sz="2" w:space="0" w:color="CCCCCC"/>
              <w:start w:val="single" w:sz="2" w:space="0" w:color="CCCCCC"/>
              <w:bottom w:val="single" w:sz="2" w:space="0" w:color="CCCCCC"/>
              <w:end w:val="single" w:sz="2" w:space="0" w:color="CCCCCC"/>
            </w:tcBorders>
            <w:shd w:fill="FFFFFF" w:val="clear"/>
            <w:tcMar>
              <w:top w:w="60" w:type="dxa"/>
              <w:bottom w:w="60" w:type="dxa"/>
            </w:tcMar>
            <w:vAlign w:val="center"/>
          </w:tcPr>
          <w:p>
            <w:pPr>
              <w:pStyle w:val="Normal"/>
              <w:spacing w:before="30" w:after="30"/>
              <w:jc w:val="center"/>
              <w:rPr/>
            </w:pPr>
            <w:r>
              <w:rPr>
                <w:rFonts w:eastAsia="Arial" w:cs="Arial"/>
                <w:b w:val="false"/>
                <w:bCs w:val="false"/>
                <w:sz w:val="18"/>
                <w:szCs w:val="18"/>
              </w:rPr>
              <w:t>0.2445</w:t>
            </w:r>
          </w:p>
        </w:tc>
      </w:tr>
    </w:tbl>
    <w:p>
      <w:pPr>
        <w:pStyle w:val="Normal"/>
        <w:spacing w:before="40" w:after="80"/>
        <w:jc w:val="center"/>
        <w:rPr/>
      </w:pPr>
      <w:r>
        <w:rPr>
          <w:rFonts w:eastAsia="Arial" w:cs="Arial"/>
          <w:i/>
          <w:iCs/>
          <w:color w:val="666666"/>
          <w:sz w:val="18"/>
          <w:szCs w:val="18"/>
        </w:rPr>
        <w:t>Table B7. CRAG is not top-scoring in 3 of 5 courses — reported directly.</w:t>
      </w:r>
    </w:p>
    <w:p>
      <w:pPr>
        <w:pStyle w:val="Heading2"/>
        <w:spacing w:before="200" w:after="80"/>
        <w:rPr/>
      </w:pPr>
      <w:r>
        <w:rPr>
          <w:rFonts w:eastAsia="Arial" w:cs="Arial" w:ascii="Arial" w:hAnsi="Arial"/>
          <w:b/>
          <w:bCs/>
          <w:color w:val="1F3070"/>
          <w:sz w:val="22"/>
          <w:szCs w:val="22"/>
        </w:rPr>
        <w:t>B10. Deployment Latency</w:t>
      </w:r>
    </w:p>
    <w:tbl>
      <w:tblPr>
        <w:tblW w:w="9360" w:type="dxa"/>
        <w:jc w:val="start"/>
        <w:tblInd w:w="0" w:type="dxa"/>
        <w:tblLayout w:type="fixed"/>
        <w:tblCellMar>
          <w:top w:w="70" w:type="dxa"/>
          <w:start w:w="100" w:type="dxa"/>
          <w:bottom w:w="70" w:type="dxa"/>
          <w:end w:w="100" w:type="dxa"/>
        </w:tblCellMar>
      </w:tblPr>
      <w:tblGrid>
        <w:gridCol w:w="3200"/>
        <w:gridCol w:w="3079"/>
        <w:gridCol w:w="3081"/>
      </w:tblGrid>
      <w:tr>
        <w:trPr>
          <w:tblHeader w:val="true"/>
        </w:trPr>
        <w:tc>
          <w:tcPr>
            <w:tcW w:w="3200"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Metric</w:t>
            </w:r>
          </w:p>
        </w:tc>
        <w:tc>
          <w:tcPr>
            <w:tcW w:w="3079"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Online (Phi-2, T4)</w:t>
            </w:r>
          </w:p>
        </w:tc>
        <w:tc>
          <w:tcPr>
            <w:tcW w:w="3081" w:type="dxa"/>
            <w:tcBorders>
              <w:top w:val="single" w:sz="2" w:space="0" w:color="2E4099"/>
              <w:start w:val="single" w:sz="2" w:space="0" w:color="2E4099"/>
              <w:bottom w:val="single" w:sz="2" w:space="0" w:color="2E4099"/>
              <w:end w:val="single" w:sz="2" w:space="0" w:color="2E4099"/>
            </w:tcBorders>
            <w:shd w:fill="2E4099" w:val="clear"/>
          </w:tcPr>
          <w:p>
            <w:pPr>
              <w:pStyle w:val="Normal"/>
              <w:jc w:val="center"/>
              <w:rPr/>
            </w:pPr>
            <w:r>
              <w:rPr>
                <w:rFonts w:eastAsia="Arial" w:cs="Arial"/>
                <w:b/>
                <w:bCs/>
                <w:color w:val="FFFFFF"/>
                <w:sz w:val="18"/>
                <w:szCs w:val="18"/>
              </w:rPr>
              <w:t>Offline (Phi-4-mini, M1 Pro)</w:t>
            </w:r>
          </w:p>
        </w:tc>
      </w:tr>
      <w:tr>
        <w:trPr/>
        <w:tc>
          <w:tcPr>
            <w:tcW w:w="3200"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Mean latency</w:t>
            </w:r>
          </w:p>
        </w:tc>
        <w:tc>
          <w:tcPr>
            <w:tcW w:w="3079"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10.55 s</w:t>
            </w:r>
          </w:p>
        </w:tc>
        <w:tc>
          <w:tcPr>
            <w:tcW w:w="3081" w:type="dxa"/>
            <w:tcBorders>
              <w:top w:val="single" w:sz="2" w:space="0" w:color="CCCCCC"/>
              <w:start w:val="single" w:sz="2" w:space="0" w:color="CCCCCC"/>
              <w:bottom w:val="single" w:sz="2" w:space="0" w:color="CCCCCC"/>
              <w:end w:val="single" w:sz="2" w:space="0" w:color="CCCCCC"/>
            </w:tcBorders>
            <w:shd w:fill="D5F5E3" w:val="clear"/>
            <w:tcMar>
              <w:top w:w="60" w:type="dxa"/>
              <w:bottom w:w="60" w:type="dxa"/>
            </w:tcMar>
            <w:vAlign w:val="center"/>
          </w:tcPr>
          <w:p>
            <w:pPr>
              <w:pStyle w:val="Normal"/>
              <w:spacing w:before="30" w:after="30"/>
              <w:jc w:val="center"/>
              <w:rPr/>
            </w:pPr>
            <w:r>
              <w:rPr>
                <w:rFonts w:eastAsia="Arial" w:cs="Arial"/>
                <w:b/>
                <w:bCs/>
                <w:sz w:val="18"/>
                <w:szCs w:val="18"/>
              </w:rPr>
              <w:t>3.60 s</w:t>
            </w:r>
          </w:p>
        </w:tc>
      </w:tr>
      <w:tr>
        <w:trPr/>
        <w:tc>
          <w:tcPr>
            <w:tcW w:w="3200"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Internet required</w:t>
            </w:r>
          </w:p>
        </w:tc>
        <w:tc>
          <w:tcPr>
            <w:tcW w:w="3079"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Yes</w:t>
            </w:r>
          </w:p>
        </w:tc>
        <w:tc>
          <w:tcPr>
            <w:tcW w:w="3081" w:type="dxa"/>
            <w:tcBorders>
              <w:top w:val="single" w:sz="2" w:space="0" w:color="CCCCCC"/>
              <w:start w:val="single" w:sz="2" w:space="0" w:color="CCCCCC"/>
              <w:bottom w:val="single" w:sz="2" w:space="0" w:color="CCCCCC"/>
              <w:end w:val="single" w:sz="2" w:space="0" w:color="CCCCCC"/>
            </w:tcBorders>
            <w:shd w:fill="EEF2FF" w:val="clear"/>
            <w:tcMar>
              <w:top w:w="60" w:type="dxa"/>
              <w:bottom w:w="60" w:type="dxa"/>
            </w:tcMar>
            <w:vAlign w:val="center"/>
          </w:tcPr>
          <w:p>
            <w:pPr>
              <w:pStyle w:val="Normal"/>
              <w:spacing w:before="30" w:after="30"/>
              <w:jc w:val="center"/>
              <w:rPr/>
            </w:pPr>
            <w:r>
              <w:rPr>
                <w:rFonts w:eastAsia="Arial" w:cs="Arial"/>
                <w:b w:val="false"/>
                <w:bCs w:val="false"/>
                <w:sz w:val="18"/>
                <w:szCs w:val="18"/>
              </w:rPr>
              <w:t>No</w:t>
            </w:r>
          </w:p>
        </w:tc>
      </w:tr>
    </w:tbl>
    <w:p>
      <w:pPr>
        <w:pStyle w:val="Normal"/>
        <w:spacing w:before="40" w:after="80"/>
        <w:jc w:val="center"/>
        <w:rPr/>
      </w:pPr>
      <w:r>
        <w:rPr>
          <w:rFonts w:eastAsia="Arial" w:cs="Arial"/>
          <w:i/>
          <w:iCs/>
          <w:color w:val="666666"/>
          <w:sz w:val="18"/>
          <w:szCs w:val="18"/>
        </w:rPr>
        <w:t>Table B8. Offline mode is 2.93× faster and free — source: offline/nyansapo_offline.py, committed.</w:t>
      </w:r>
    </w:p>
    <w:p>
      <w:pPr>
        <w:pStyle w:val="Heading2"/>
        <w:spacing w:before="200" w:after="80"/>
        <w:rPr/>
      </w:pPr>
      <w:r>
        <w:rPr>
          <w:rFonts w:eastAsia="Arial" w:cs="Arial" w:ascii="Arial" w:hAnsi="Arial"/>
          <w:b/>
          <w:bCs/>
          <w:color w:val="1F3070"/>
          <w:sz w:val="22"/>
          <w:szCs w:val="22"/>
        </w:rPr>
        <w:t>B11. User Trust Study</w:t>
      </w:r>
    </w:p>
    <w:p>
      <w:pPr>
        <w:pStyle w:val="Normal"/>
        <w:spacing w:lineRule="auto" w:line="300" w:before="80" w:after="80"/>
        <w:jc w:val="both"/>
        <w:rPr/>
      </w:pPr>
      <w:r>
        <w:rPr>
          <w:rFonts w:eastAsia="Arial" w:cs="Arial"/>
          <w:sz w:val="21"/>
          <w:szCs w:val="21"/>
        </w:rPr>
        <w:t>n=298 KNUST students (219 CS, 79 non-CS; 152 male, 144 female, 2 gender field blank). Overall trust: 4.1795 ± 0.8343, significantly above the 3.0 midpoint (t=24.3252, p&lt;0.000001). NASA-TLX cognitive load: 1.8761 ± 0.9051. CS vs non-CS: 4.2492 vs 3.9814 (Mann-Whitney U=10145.0, p=0.005008). Gender: Male 4.2199 vs Female 4.1369 (U=11492.5, p=0.430662, not significant).</w:t>
      </w:r>
    </w:p>
    <w:p>
      <w:pPr>
        <w:pStyle w:val="Heading2"/>
        <w:spacing w:before="200" w:after="80"/>
        <w:rPr/>
      </w:pPr>
      <w:r>
        <w:rPr>
          <w:rFonts w:eastAsia="Arial" w:cs="Arial" w:ascii="Arial" w:hAnsi="Arial"/>
          <w:b/>
          <w:bCs/>
          <w:color w:val="1F3070"/>
          <w:sz w:val="22"/>
          <w:szCs w:val="22"/>
        </w:rPr>
        <w:t>B12. Non-Confirmatory Results</w:t>
      </w:r>
    </w:p>
    <w:p>
      <w:pPr>
        <w:pStyle w:val="Normal"/>
        <w:spacing w:lineRule="auto" w:line="300" w:before="80" w:after="80"/>
        <w:jc w:val="both"/>
        <w:rPr/>
      </w:pPr>
      <w:r>
        <w:rPr>
          <w:rFonts w:eastAsia="Arial" w:cs="Arial"/>
          <w:b/>
          <w:bCs/>
          <w:sz w:val="21"/>
          <w:szCs w:val="21"/>
        </w:rPr>
        <w:t xml:space="preserve">CRAG vs Naive RAG: </w:t>
      </w:r>
      <w:r>
        <w:rPr>
          <w:rFonts w:eastAsia="Arial" w:cs="Arial"/>
          <w:sz w:val="21"/>
          <w:szCs w:val="21"/>
        </w:rPr>
        <w:t>Not significant (p=0.554, d=0.026). The CRAG evaluator's corrective rewriting did not produce a measurable ROUGE-L improvement over naive retrieval at n=200.</w:t>
      </w:r>
    </w:p>
    <w:p>
      <w:pPr>
        <w:pStyle w:val="Normal"/>
        <w:spacing w:lineRule="auto" w:line="300" w:before="80" w:after="80"/>
        <w:jc w:val="both"/>
        <w:rPr/>
      </w:pPr>
      <w:r>
        <w:rPr>
          <w:rFonts w:eastAsia="Arial" w:cs="Arial"/>
          <w:b/>
          <w:bCs/>
          <w:sz w:val="21"/>
          <w:szCs w:val="21"/>
        </w:rPr>
        <w:t xml:space="preserve">CRAG vs Vanilla LLM: </w:t>
      </w:r>
      <w:r>
        <w:rPr>
          <w:rFonts w:eastAsia="Arial" w:cs="Arial"/>
          <w:sz w:val="21"/>
          <w:szCs w:val="21"/>
        </w:rPr>
        <w:t>Not significant at n=200 (p=0.056). Achieved power 0.4436 per the audit script's Block V1c; n≥413 required for 80% power. Inconclusive, not absence of effect.</w:t>
      </w:r>
    </w:p>
    <w:p>
      <w:pPr>
        <w:pStyle w:val="Normal"/>
        <w:spacing w:lineRule="auto" w:line="300" w:before="80" w:after="80"/>
        <w:jc w:val="both"/>
        <w:rPr/>
      </w:pPr>
      <w:r>
        <w:rPr>
          <w:rFonts w:eastAsia="Arial" w:cs="Arial"/>
          <w:b/>
          <w:bCs/>
          <w:sz w:val="21"/>
          <w:szCs w:val="21"/>
        </w:rPr>
        <w:t xml:space="preserve">Fairness by course: </w:t>
      </w:r>
      <w:r>
        <w:rPr>
          <w:rFonts w:eastAsia="Arial" w:cs="Arial"/>
          <w:sz w:val="21"/>
          <w:szCs w:val="21"/>
        </w:rPr>
        <w:t>CRAG not top-performing in 3 of 5 courses (Table B7).</w:t>
      </w:r>
    </w:p>
    <w:p>
      <w:pPr>
        <w:pStyle w:val="Normal"/>
        <w:spacing w:lineRule="auto" w:line="300" w:before="80" w:after="80"/>
        <w:jc w:val="both"/>
        <w:rPr/>
      </w:pPr>
      <w:r>
        <w:rPr>
          <w:rFonts w:eastAsia="Arial" w:cs="Arial"/>
          <w:b/>
          <w:bCs/>
          <w:sz w:val="21"/>
          <w:szCs w:val="21"/>
        </w:rPr>
        <w:t xml:space="preserve">Perturbation under paraphrase: </w:t>
      </w:r>
      <w:r>
        <w:rPr>
          <w:rFonts w:eastAsia="Arial" w:cs="Arial"/>
          <w:sz w:val="21"/>
          <w:szCs w:val="21"/>
        </w:rPr>
        <w:t>0.2161-point Macro F1 drop on the deployment seed — reported as a limitation, not generalised into a robustness claim.</w:t>
      </w:r>
    </w:p>
    <w:p>
      <w:pPr>
        <w:pStyle w:val="Normal"/>
        <w:spacing w:lineRule="auto" w:line="300" w:before="80" w:after="80"/>
        <w:jc w:val="both"/>
        <w:rPr/>
      </w:pPr>
      <w:r>
        <w:rPr>
          <w:rFonts w:eastAsia="Arial" w:cs="Arial"/>
          <w:b/>
          <w:bCs/>
          <w:sz w:val="21"/>
          <w:szCs w:val="21"/>
        </w:rPr>
        <w:t xml:space="preserve">Deployment seed selection: </w:t>
      </w:r>
      <w:r>
        <w:rPr>
          <w:rFonts w:eastAsia="Arial" w:cs="Arial"/>
          <w:sz w:val="21"/>
          <w:szCs w:val="21"/>
        </w:rPr>
        <w:t>Post-hoc, test-outcome-based — the test set is not a held-out estimate for the deployed model (§A6).</w:t>
      </w:r>
    </w:p>
    <w:p>
      <w:pPr>
        <w:pStyle w:val="Normal"/>
        <w:rPr/>
      </w:pPr>
      <w:r>
        <w:rPr/>
      </w:r>
      <w:r>
        <w:br w:type="page"/>
      </w:r>
    </w:p>
    <w:p>
      <w:pPr>
        <w:pStyle w:val="Heading1"/>
        <w:spacing w:before="0" w:after="100"/>
        <w:rPr/>
      </w:pPr>
      <w:r>
        <w:rPr>
          <w:rFonts w:eastAsia="Arial" w:cs="Arial" w:ascii="Arial" w:hAnsi="Arial"/>
          <w:b/>
          <w:bCs/>
          <w:color w:val="2E4099"/>
          <w:sz w:val="26"/>
          <w:szCs w:val="26"/>
        </w:rPr>
        <w:t>REFERENCES</w:t>
      </w:r>
    </w:p>
    <w:p>
      <w:pPr>
        <w:pStyle w:val="Normal"/>
        <w:spacing w:lineRule="auto" w:line="300" w:before="80" w:after="80"/>
        <w:jc w:val="both"/>
        <w:rPr/>
      </w:pPr>
      <w:r>
        <w:rPr>
          <w:rFonts w:eastAsia="Arial" w:cs="Arial"/>
          <w:sz w:val="21"/>
          <w:szCs w:val="21"/>
        </w:rPr>
        <w:t>Cormack, G. V., Clarke, C. L., &amp; Buettcher, S. (2009). Reciprocal rank fusion outperforms condorcet and individual rank learning methods. SIGIR 2009.</w:t>
      </w:r>
    </w:p>
    <w:p>
      <w:pPr>
        <w:pStyle w:val="Normal"/>
        <w:spacing w:lineRule="auto" w:line="300" w:before="80" w:after="80"/>
        <w:jc w:val="both"/>
        <w:rPr/>
      </w:pPr>
      <w:r>
        <w:rPr>
          <w:rFonts w:eastAsia="Arial" w:cs="Arial"/>
          <w:sz w:val="21"/>
          <w:szCs w:val="21"/>
        </w:rPr>
        <w:t>Ji, Z., Lee, N., Frieske, R., et al. (2023). Survey of Hallucination in Natural Language Generation. ACM Computing Surveys.</w:t>
      </w:r>
    </w:p>
    <w:p>
      <w:pPr>
        <w:pStyle w:val="Normal"/>
        <w:spacing w:lineRule="auto" w:line="300" w:before="80" w:after="80"/>
        <w:jc w:val="both"/>
        <w:rPr/>
      </w:pPr>
      <w:r>
        <w:rPr>
          <w:rFonts w:eastAsia="Arial" w:cs="Arial"/>
          <w:sz w:val="21"/>
          <w:szCs w:val="21"/>
        </w:rPr>
        <w:t>Lewis, P., Perez, E., Piktus, A., et al. (2020). Retrieval-Augmented Generation for Knowledge-Intensive NLP Tasks. NeurIPS.</w:t>
      </w:r>
    </w:p>
    <w:p>
      <w:pPr>
        <w:pStyle w:val="Normal"/>
        <w:spacing w:lineRule="auto" w:line="300" w:before="80" w:after="80"/>
        <w:jc w:val="both"/>
        <w:rPr/>
      </w:pPr>
      <w:r>
        <w:rPr>
          <w:rFonts w:eastAsia="Arial" w:cs="Arial"/>
          <w:sz w:val="21"/>
          <w:szCs w:val="21"/>
        </w:rPr>
        <w:t>Yan, S., Gu, J., Zhu, Y., &amp; Ling, Z. (2024). Corrective Retrieval Augmented Generation. arXiv:2401.15884.</w:t>
      </w:r>
    </w:p>
    <w:p>
      <w:pPr>
        <w:pStyle w:val="Normal"/>
        <w:spacing w:before="20" w:after="20"/>
        <w:rPr/>
      </w:pPr>
      <w:r>
        <w:rPr/>
      </w:r>
    </w:p>
    <w:p>
      <w:pPr>
        <w:pStyle w:val="Normal"/>
        <w:pBdr>
          <w:top w:val="single" w:sz="2" w:space="4" w:color="CCCCCC"/>
        </w:pBdr>
        <w:spacing w:before="60" w:after="60"/>
        <w:jc w:val="center"/>
        <w:rPr/>
      </w:pPr>
      <w:r>
        <w:rPr>
          <w:rFonts w:eastAsia="Arial" w:cs="Arial"/>
          <w:i/>
          <w:iCs/>
          <w:color w:val="666666"/>
          <w:sz w:val="18"/>
          <w:szCs w:val="18"/>
        </w:rPr>
        <w:t>Nyansapo Research Team — Group 1 — KNUST 2025–2026</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6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1"/>
        <w:szCs w:val="21"/>
        <w:lang w:val="en-GH"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1"/>
      <w:szCs w:val="21"/>
      <w:lang w:val="en-GH" w:eastAsia="zh-CN" w:bidi="hi-IN"/>
    </w:rPr>
  </w:style>
  <w:style w:type="paragraph" w:styleId="Heading1">
    <w:name w:val="heading 1"/>
    <w:basedOn w:val="Heading"/>
    <w:qFormat/>
    <w:pPr>
      <w:spacing w:before="300" w:after="100"/>
      <w:outlineLvl w:val="0"/>
    </w:pPr>
    <w:rPr>
      <w:rFonts w:ascii="Arial" w:hAnsi="Arial" w:eastAsia="Arial" w:cs="Arial"/>
      <w:b/>
      <w:bCs/>
      <w:color w:val="2E4099"/>
      <w:sz w:val="26"/>
      <w:szCs w:val="26"/>
    </w:rPr>
  </w:style>
  <w:style w:type="paragraph" w:styleId="Heading2">
    <w:name w:val="heading 2"/>
    <w:basedOn w:val="Heading"/>
    <w:qFormat/>
    <w:pPr>
      <w:spacing w:before="200" w:after="80"/>
      <w:outlineLvl w:val="1"/>
    </w:pPr>
    <w:rPr>
      <w:rFonts w:ascii="Arial" w:hAnsi="Arial" w:eastAsia="Arial" w:cs="Arial"/>
      <w:b/>
      <w:bCs/>
      <w:color w:val="1F307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1"/>
      <w:szCs w:val="21"/>
      <w:lang w:val="en-GH"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1"/>
      <w:szCs w:val="21"/>
      <w:lang w:val="en-GH"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LibreOffice/26.2.1.2$MacOSX_AARCH64 LibreOffice_project/8399f6259d8c87f40e7255cdb3c9b958f5e08948</Application>
  <AppVersion>15.0000</AppVersion>
  <Pages>14</Pages>
  <Words>2246</Words>
  <Characters>13799</Characters>
  <CharactersWithSpaces>15790</CharactersWithSpaces>
  <Paragraphs>303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2026-09-18T21:41:48Z</dcterms:created>
  <dc:creator>Un-named</dc:creator>
  <dc:description/>
  <dc:language>en-GH</dc:language>
  <cp:lastModifiedBy/>
  <dcterms:modified xsi:type="dcterms:W3CDTF">2026-09-18T22:06:41Z</dcterms:modified>
  <cp:revision>2</cp:revision>
  <dc:subject/>
  <dc:title/>
</cp:coreProperties>
</file>