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thick" w:color="2E4099" w:sz="6" w:space="4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2E4099"/>
          <w:sz w:val="22"/>
          <w:szCs w:val="22"/>
        </w:rPr>
        <w:t xml:space="preserve">CAN-DO RESEARCH LAB  |  KNUST DEPARTMENT OF COMPUTER SCIENCE</w:t>
      </w:r>
    </w:p>
    <w:p>
      <w:pPr>
        <w:spacing w:after="12" w:before="12"/>
      </w:pPr>
      <w:r>
        <w:t xml:space="preserve"/>
      </w:r>
    </w:p>
    <w:p>
      <w:pPr>
        <w:spacing w:after="8" w:before="0"/>
        <w:jc w:val="center"/>
      </w:pPr>
      <w:r>
        <w:rPr>
          <w:rFonts w:ascii="Arial" w:cs="Arial" w:eastAsia="Arial" w:hAnsi="Arial"/>
          <w:b/>
          <w:bCs/>
          <w:color w:val="2E4099"/>
          <w:sz w:val="32"/>
          <w:szCs w:val="32"/>
        </w:rPr>
        <w:t xml:space="preserve">TESTBED SUBMISSION COVER SHEET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070"/>
          <w:sz w:val="24"/>
          <w:szCs w:val="24"/>
        </w:rPr>
        <w:t xml:space="preserve">Full Manuscript Writing Phase 2 Readiness — Group 1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Eric Opoku Osei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follow-up — 7-item closure list from GROUP_1_VERIFY_CHECKS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F/M/R/S operation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— standard cross-entropy replaced with weighted cross-entropy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classifier 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Macro F1 0.7074 ± 0.1306 vs baseline 0.1976 ± 0.0836 (p=0.000088, d=3.0005)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X5 confound isolation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Code-fix-only effect isolated: +0.0081 (p=0.642, d=0.058) — not significant; historical +0.086 gap attributable to library version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CRAG vs Vanilla certificate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CLEARED AS INCONCLUSIVE — 5/6 structural conditions PASS, power (C3) FAILS at n=200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(public)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github.com/maagyei04/Nyansapo-RAG-Research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 hash (single, only one cited anywhere)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2bbfd9aa77d27909f4f72d0c180fd83f78b76555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bottom w:val="single" w:color="2E4099" w:sz="2" w:space="4"/>
        </w:pBdr>
        <w:spacing w:after="60" w:before="0"/>
      </w:pPr>
      <w:r>
        <w:rPr>
          <w:rFonts w:ascii="Arial" w:cs="Arial" w:eastAsia="Arial" w:hAnsi="Arial"/>
          <w:b/>
          <w:bCs/>
          <w:color w:val="2E4099"/>
          <w:sz w:val="24"/>
          <w:szCs w:val="24"/>
        </w:rPr>
        <w:t xml:space="preserve">Files Submitted</w:t>
      </w:r>
    </w:p>
    <w:p>
      <w:pPr>
        <w:spacing w:after="8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53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Group1_Method_and_Results.docx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Merged Method and Results — single document, no personal name label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Group1_All_Feedback_Reports.pdf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feedback reports, chronological, for comparison of open vs closed items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bottom w:val="single" w:color="2E4099" w:sz="2" w:space="4"/>
        </w:pBdr>
        <w:spacing w:after="60" w:before="0"/>
      </w:pPr>
      <w:r>
        <w:rPr>
          <w:rFonts w:ascii="Arial" w:cs="Arial" w:eastAsia="Arial" w:hAnsi="Arial"/>
          <w:b/>
          <w:bCs/>
          <w:color w:val="2E4099"/>
          <w:sz w:val="24"/>
          <w:szCs w:val="24"/>
        </w:rPr>
        <w:t xml:space="preserve">This Round's Seven-Item Closure</w:t>
      </w:r>
    </w:p>
    <w:p>
      <w:pPr>
        <w:spacing w:after="8" w:before="8"/>
      </w:pPr>
      <w: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C4(b) cell execution: </w:t>
      </w:r>
      <w:r>
        <w:rPr>
          <w:rFonts w:ascii="Arial" w:cs="Arial" w:eastAsia="Arial" w:hAnsi="Arial"/>
          <w:sz w:val="22"/>
          <w:szCs w:val="22"/>
        </w:rPr>
        <w:t xml:space="preserve">Fixed — 14-name column list now matches the committed 14-column anonymized CSV; verified end-to-end.</w:t>
      </w:r>
    </w:p>
    <w:p>
      <w:pPr>
        <w:spacing w:after="80" w:before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Zero-ROUGE residue: </w:t>
      </w:r>
      <w:r>
        <w:rPr>
          <w:rFonts w:ascii="Arial" w:cs="Arial" w:eastAsia="Arial" w:hAnsi="Arial"/>
          <w:sz w:val="22"/>
          <w:szCs w:val="22"/>
        </w:rPr>
        <w:t xml:space="preserve">Reported — CRAG=10, Naive=11, BM25=27, Vanilla=0; BM25 cases diagnosed as truncated list-fragment generation.</w:t>
      </w:r>
    </w:p>
    <w:p>
      <w:pPr>
        <w:spacing w:after="80" w:before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X5 confound: </w:t>
      </w:r>
      <w:r>
        <w:rPr>
          <w:rFonts w:ascii="Arial" w:cs="Arial" w:eastAsia="Arial" w:hAnsi="Arial"/>
          <w:sz w:val="22"/>
          <w:szCs w:val="22"/>
        </w:rPr>
        <w:t xml:space="preserve">Isolated — same-environment rerun shows code-fix-only effect is +0.0081, not significant; version bump was the actual driver of the historical gap.</w:t>
      </w:r>
    </w:p>
    <w:p>
      <w:pPr>
        <w:spacing w:after="80" w:before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Null Clearance Certificate: </w:t>
      </w:r>
      <w:r>
        <w:rPr>
          <w:rFonts w:ascii="Arial" w:cs="Arial" w:eastAsia="Arial" w:hAnsi="Arial"/>
          <w:sz w:val="22"/>
          <w:szCs w:val="22"/>
        </w:rPr>
        <w:t xml:space="preserve">Re-run in full — CLEARED AS INCONCLUSIVE, 5/6 PASS, power fails at current n.</w:t>
      </w:r>
    </w:p>
    <w:p>
      <w:pPr>
        <w:spacing w:after="80" w:before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Hash citation chaos: </w:t>
      </w:r>
      <w:r>
        <w:rPr>
          <w:rFonts w:ascii="Arial" w:cs="Arial" w:eastAsia="Arial" w:hAnsi="Arial"/>
          <w:sz w:val="22"/>
          <w:szCs w:val="22"/>
        </w:rPr>
        <w:t xml:space="preserve">Resolved — single hash policy, one hash cited everywhere in this submission.</w:t>
      </w:r>
    </w:p>
    <w:p>
      <w:pPr>
        <w:spacing w:after="80" w:before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.gitignore / Drive dependency: </w:t>
      </w:r>
      <w:r>
        <w:rPr>
          <w:rFonts w:ascii="Arial" w:cs="Arial" w:eastAsia="Arial" w:hAnsi="Arial"/>
          <w:sz w:val="22"/>
          <w:szCs w:val="22"/>
        </w:rPr>
        <w:t xml:space="preserve">Resolved — all result JSONs and classifier deployment files committed; every result and figure producer now writes to the committed data/ or figures/ path. Only the three retrieval assets (FAISS index, chunks, BM25) remain on Google Drive because of file size, as disclosed in Methods section A7.</w:t>
      </w:r>
    </w:p>
    <w:p>
      <w:pPr>
        <w:spacing w:after="80" w:before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Figure 3 producer mismatch: </w:t>
      </w:r>
      <w:r>
        <w:rPr>
          <w:rFonts w:ascii="Arial" w:cs="Arial" w:eastAsia="Arial" w:hAnsi="Arial"/>
          <w:sz w:val="22"/>
          <w:szCs w:val="22"/>
        </w:rPr>
        <w:t xml:space="preserve">Resolved — save path corrected to write directly to the cited figures/data_partition_v3.png.</w:t>
      </w:r>
    </w:p>
    <w:p>
      <w:pPr>
        <w:spacing w:after="20" w:before="20"/>
      </w:pPr>
      <w:r>
        <w:t xml:space="preserve"/>
      </w:r>
    </w:p>
    <w:p>
      <w:pPr>
        <w:pBdr>
          <w:top w:val="single" w:color="CCCCCC" w:sz="2" w:space="4"/>
        </w:pBdr>
        <w:spacing w:after="60" w:before="6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Nyansapo Research Team — Group 1 — KNUST 2025–2026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2026-10-05T14:21:27.799Z</dcterms:created>
  <dcterms:modified xsi:type="dcterms:W3CDTF">2026-10-05T14:21:27.799Z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