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Procedimento de Gestão de Mudanças no Freshservice</w:t>
      </w:r>
    </w:p>
    <w:p>
      <w:r>
        <w:t>KBA operacional para abertura, planejamento, análise, aprovação, execução, validação e encerramento de mudanças de TI.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Controle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Organização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São Salvador Alimentos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Responsável pelo conteúdo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Matuzalem Kleyton Lopes — Gestor de Mudanças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Versão e data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1.3 • 26 de outubro de 2026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Situação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Minuta consolidada para validação interna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Público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Equipes internas, consultores, parceiros autorizados e aprovadores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Abrangência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Processo geral de mudanças; regras específicas SAP e Gerência de Operações</w:t>
            </w:r>
          </w:p>
        </w:tc>
      </w:tr>
    </w:tbl>
    <w:p>
      <w:pPr>
        <w:pStyle w:val="Heading2"/>
      </w:pPr>
      <w:r>
        <w:t>Objetivo</w:t>
      </w:r>
    </w:p>
    <w:p>
      <w:r>
        <w:t>Orientar o registro e a condução das changes com informações completas, responsabilidades definidas, evidências verificáveis e aprovações rastreáveis. O executor deve conseguir identificar o que fazer, quando executar, como validar e como recuperar o serviço em caso de falha.</w:t>
      </w:r>
    </w:p>
    <w:p>
      <w:r>
        <w:t>Este artigo consolida as regras internas fornecidas pelo Gestor de Mudanças. A organização do conteúdo considera a prática de habilitação de mudanças do ITIL 4 como referência conceitual; horários, quórum, ferramentas e exigências descritos são regras internas da SSA.</w:t>
      </w:r>
    </w:p>
    <w:p>
      <w:pPr>
        <w:pStyle w:val="Heading2"/>
      </w:pPr>
      <w:r>
        <w:t>Como utilizar</w:t>
      </w:r>
    </w:p>
    <w:p>
      <w:r>
        <w:t>Consulte o tipo de mudança e siga as etapas de abertura, planejamento, análise, aprovação, execução e encerramento. Aplique também os requisitos específicos de SAP ou Operações. A seção 12 reúne as regras confirmadas e as complementações de governança.</w:t>
      </w:r>
    </w:p>
    <w:p>
      <w:pPr>
        <w:pStyle w:val="Heading2"/>
      </w:pPr>
      <w:r>
        <w:t>Proteção das informações</w:t>
      </w:r>
    </w:p>
    <w:p>
      <w:r>
        <w:t>As figuras mostram a aplicação Freshservice e os modelos reais fornecidos. Rótulos, botões, abas e estrutura dos formulários foram preservados. O conteúdo preenchido pelos colaboradores, nomes, contatos, identificadores e valores dos registros foi removido ou coberto por blocos opacos. Áreas cinzas indicam ocultação e não são campos do sistema. Exemplos textuais deste artigo são genéricos.</w:t>
      </w:r>
    </w:p>
    <w:p>
      <w:pPr>
        <w:pStyle w:val="Heading2"/>
      </w:pPr>
      <w:r>
        <w:t>Organização do artigo</w:t>
      </w:r>
    </w:p>
    <w:p>
      <w:r>
        <w:t>1 Responsabilidades • 2 Tipos • 3 Abertura • 4 Campos e planejamento • 5 Evidências e tarefas • 6 CAB e aprovações • 7 Execução SAP • 8 Operações • 9 Encerramento • 10 Comunicação e indicadores • 11 Checklists • 12 Regras consolidadas e referências</w:t>
      </w:r>
    </w:p>
    <w:p>
      <w:pPr>
        <w:pStyle w:val="Heading1"/>
        <w:pageBreakBefore/>
      </w:pPr>
      <w:r>
        <w:t>1 Papéis e responsabilidades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Papel</w:t>
            </w:r>
          </w:p>
        </w:tc>
        <w:tc>
          <w:tcPr>
            <w:tcW w:type="dxa" w:w="77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Responsabilidade no processo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Solicitante</w:t>
            </w:r>
          </w:p>
        </w:tc>
        <w:tc>
          <w:tcPr>
            <w:tcW w:type="dxa" w:w="77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Criar a change; preencher informações e evidências; providenciar os ajustes solicitados e encaminhar o registro para aprovação.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Grupo executor</w:t>
            </w:r>
          </w:p>
        </w:tc>
        <w:tc>
          <w:tcPr>
            <w:tcW w:type="dxa" w:w="77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Equipe responsável pela execução da mudança.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Agente ou implementador</w:t>
            </w:r>
          </w:p>
        </w:tc>
        <w:tc>
          <w:tcPr>
            <w:tcW w:type="dxa" w:w="77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Profissional responsável pela execução; manter tarefas e registros atualizados, realizar ou coordenar a validação e concluir o encerramento.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Matuzalem Kleyton Lopes — Gestor de Mudanças</w:t>
            </w:r>
          </w:p>
        </w:tc>
        <w:tc>
          <w:tcPr>
            <w:tcW w:type="dxa" w:w="77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Organizar a pauta, conduzir a governança, comunicar as changes e alinhar substituições com os gerentes das áreas. Realizar as mesmas avaliações dos demais aprovadores e ser o último a aprovar, dando a validação final.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Aprovadores</w:t>
            </w:r>
          </w:p>
        </w:tc>
        <w:tc>
          <w:tcPr>
            <w:tcW w:type="dxa" w:w="77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Realizar pré-análise, avaliar riscos, impactos, testes e planos; aprovar ou rejeitar de forma registrada.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Líder da área de negócio</w:t>
            </w:r>
          </w:p>
        </w:tc>
        <w:tc>
          <w:tcPr>
            <w:tcW w:type="dxa" w:w="77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Participar da análise de prioridade, impacto e risco; para Operações, formalizar ciência da intervenção que afetará a área.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RH</w:t>
            </w:r>
          </w:p>
        </w:tc>
        <w:tc>
          <w:tcPr>
            <w:tcW w:type="dxa" w:w="77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Enviar o comunicado interno à empresa, mediante solicitação para as changes de Operações.</w:t>
            </w:r>
          </w:p>
        </w:tc>
      </w:tr>
    </w:tbl>
    <w:p>
      <w:pPr>
        <w:pStyle w:val="Heading2"/>
      </w:pPr>
      <w:r>
        <w:t>Núcleo obrigatório de aprovação</w:t>
      </w:r>
    </w:p>
    <w:p>
      <w:pPr>
        <w:pStyle w:val="ListBullet"/>
      </w:pPr>
      <w:r>
        <w:t>Gestor de Mudanças.</w:t>
      </w:r>
    </w:p>
    <w:p>
      <w:pPr>
        <w:pStyle w:val="ListBullet"/>
      </w:pPr>
      <w:r>
        <w:t>Coordenador de Serviços.</w:t>
      </w:r>
    </w:p>
    <w:p>
      <w:pPr>
        <w:pStyle w:val="ListBullet"/>
      </w:pPr>
      <w:r>
        <w:t>Coordenador de Dev Hub.</w:t>
      </w:r>
    </w:p>
    <w:p>
      <w:pPr>
        <w:pStyle w:val="ListBullet"/>
      </w:pPr>
      <w:r>
        <w:t>Coordenador de Sistemas.</w:t>
      </w:r>
    </w:p>
    <w:p>
      <w:pPr>
        <w:pStyle w:val="ListBullet"/>
      </w:pPr>
      <w:r>
        <w:t>Coordenador de Infraestrutura.</w:t>
      </w:r>
    </w:p>
    <w:p>
      <w:r>
        <w:t>Todos os cinco representantes devem aprovar, para mudanças Padrão, Normal e Emergencial. O encaminhamento de uma solicitação de aprovação não equivale à sua aprovação.</w:t>
      </w:r>
    </w:p>
    <w:p>
      <w:r>
        <w:t>O Gestor de Mudanças, Matuzalem Kleyton Lopes, tem as mesmas responsabilidades de avaliação dos demais aprovadores e deve ser o último a aprovar, registrando sua validação final.</w:t>
      </w:r>
    </w:p>
    <w:p>
      <w:pPr>
        <w:pStyle w:val="Heading2"/>
      </w:pPr>
      <w:r>
        <w:t>Ausência de aprovador</w:t>
      </w:r>
    </w:p>
    <w:p>
      <w:r>
        <w:t>O Gestor de Mudanças deve alinhar com o gerente da área a formalização de um novo representante. Como orientação de rastreabilidade, registrar na change a indicação formal, o papel representado e a substituição na cadeia de aprovação. Não presumir que uma aprovação cancelada substitui a aprovação exigida.</w:t>
      </w:r>
    </w:p>
    <w:p>
      <w:pPr>
        <w:pStyle w:val="Heading2"/>
      </w:pPr>
      <w:r>
        <w:t>Termos utilizados</w:t>
      </w:r>
    </w:p>
    <w:p>
      <w:r>
        <w:t>Change: registro de mudança. CAB: Comitê Consultivo de Mudanças. eCAB: Comitê Consultivo Emergencial. QAS: ambiente de qualidade ou homologação. PRD: Produção. KBA: artigo da base de conhecimento. DTI: Documento de Teste Integrado. Runbook: roteiro operacional de execução. Rollback: reversão ao estado anterior; quando inviável, registrar a estratégia de recuperação. Go/No Go: decisão de prosseguir ou interromper a execução.</w:t>
      </w:r>
    </w:p>
    <w:p>
      <w:pPr>
        <w:pStyle w:val="Heading1"/>
        <w:pageBreakBefore/>
      </w:pPr>
      <w:r>
        <w:t>2 Tipos e classificações de mudança</w:t>
      </w:r>
    </w:p>
    <w:p>
      <w:pPr>
        <w:pStyle w:val="Heading2"/>
      </w:pPr>
      <w:r>
        <w:t>Mudança Padrão</w:t>
      </w:r>
    </w:p>
    <w:p>
      <w:r>
        <w:t>Atividade recorrente, repetível, conhecida, de baixo risco e impacto previamente avaliados, com procedimento documentado e autorizado para padronização. Não exige reunião de defesa pelo Teams, mas exige análise técnica, evidências e aprovação dos cinco representantes em cada change.</w:t>
      </w:r>
    </w:p>
    <w:p>
      <w:r>
        <w:t>A primeira execução deve ser registrada como Normal e submetida ao comitê. Somente após autorização formal para padronização as execuções seguintes podem utilizar o tipo Padrão, mantendo escopo, procedimento, risco e condições aprovadas. A pré-autorização do procedimento não dispensa as aprovações do registro de cada execução.</w:t>
      </w:r>
    </w:p>
    <w:p>
      <w:r>
        <w:t>Alterações relevantes no escopo, implementação, risco, impacto ou condições exigem nova avaliação como Normal. Ser simples ou de baixo risco, isoladamente, não autoriza a classificação como Padrão.</w:t>
      </w:r>
    </w:p>
    <w:p>
      <w:pPr>
        <w:pStyle w:val="Heading2"/>
      </w:pPr>
      <w:r>
        <w:t>Mudança Normal</w:t>
      </w:r>
    </w:p>
    <w:p>
      <w:r>
        <w:t>Mudança planejável, sujeita a análise técnica, avaliação das evidências de testes e defesa no CAB. As execuções devem respeitar a janela aplicável e as aprovações obrigatórias.</w:t>
      </w:r>
    </w:p>
    <w:p>
      <w:pPr>
        <w:pStyle w:val="Heading2"/>
      </w:pPr>
      <w:r>
        <w:t>Mudança Emergencial</w:t>
      </w:r>
    </w:p>
    <w:p>
      <w:r>
        <w:t>Mudança não prevista de alta urgência, avaliada no eCAB. A reunião pode ocorrer em qualquer horário; a execução é programada conforme necessidade e urgência. Participam os coordenadores, o Gestor de Mudanças e o executor que apresenta a defesa. O solicitante impactado pode participar conforme o caso. Permanecem as análises e aprovações obrigatórias.</w:t>
      </w:r>
    </w:p>
    <w:p>
      <w:pPr>
        <w:pStyle w:val="Heading2"/>
      </w:pPr>
      <w:r>
        <w:t>Classificação</w:t>
      </w:r>
    </w:p>
    <w:p>
      <w:r>
        <w:t>A classificação expressa a finalidade da alteração e é diferente do tipo de mudança. Selecionar conforme o objetivo: Corretiva, Preventiva, Melhoria, Ajuste ou Projetos. Utilizar esses nomes conforme exibidos no Freshservice. A classificação Corretiva não é um quarto tipo de mudança.</w:t>
      </w:r>
    </w:p>
    <w:p>
      <w:pPr>
        <w:pStyle w:val="Heading2"/>
      </w:pPr>
      <w:r>
        <w:t>Documentação da mudança Padrão</w:t>
      </w:r>
    </w:p>
    <w:p>
      <w:r>
        <w:t>A KBA operacional deve estar vigente, aprovada e armazenada em Soluções &gt; Governança de TI &gt; Gestão de Mudanças &gt; Documentação de Mudanças Padrão. Deve explicar pré-requisitos, execução, validação, janela, cuidados, conclusão e anexos aplicáveis. Incluir obrigatoriamente seu link no Plano de Implementação.</w:t>
      </w:r>
    </w:p>
    <w:p>
      <w:pPr>
        <w:pStyle w:val="Heading1"/>
        <w:pageBreakBefore/>
      </w:pPr>
      <w:r>
        <w:t>3 Abertura da change</w:t>
      </w:r>
    </w:p>
    <w:p>
      <w:r>
        <w:t>1. Acessar https://csc.ssa-br.com com o acesso autorizado à Central de Serviços.</w:t>
        <w:br/>
        <w:t>2. Clicar em Criar, no canto superior direito.</w:t>
        <w:br/>
        <w:t>3. Selecionar Mudança.</w:t>
        <w:br/>
        <w:t>4. Preencher o formulário e revisar o conteúdo antes de enviar.</w:t>
        <w:br/>
        <w:t>5. Após o registro, complementar as abas e manter o planejamento atualizado.</w:t>
      </w:r>
    </w:p>
    <w:p>
      <w:r>
        <w:drawing>
          <wp:inline xmlns:a="http://schemas.openxmlformats.org/drawingml/2006/main" xmlns:pic="http://schemas.openxmlformats.org/drawingml/2006/picture">
            <wp:extent cx="6217920" cy="1949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Menu Criar e opção Mudança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Como preencher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Espaço de trabalho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Selecionar o espaço responsável pela mudança. Para o processo apresentado, Tecnologia da Informação.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Solicitante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Identificar o responsável pela solicitação do registro.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Tipo de Mudança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Selecionar Padrão, Normal ou Emergencial conforme os critérios deste artigo.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Pesquisar e selecionar a equipe responsável pela execução. A lista possui vários grupos e não é reproduzida integralmente.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Agente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Pesquisar e selecionar o responsável pela execução da change.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Assunto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Título específico que identifique a alteração e o sistema ou serviço.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Descrição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Objetivo, escopo, componentes alterados e resultado esperado; incluir identificadores necessários no registro operacional.</w:t>
            </w:r>
          </w:p>
        </w:tc>
      </w:tr>
    </w:tbl>
    <w:p>
      <w:pPr>
        <w:pStyle w:val="Heading2"/>
      </w:pPr>
      <w:r>
        <w:t>Exemplo genérico de preenchimento</w:t>
      </w:r>
    </w:p>
    <w:p>
      <w:r>
        <w:t>Assunto: SAP — Ajustar configuração do processo de compras.</w:t>
        <w:br/>
        <w:t>Descrição: Alterar a configuração identificada no ticket associado, no módulo envolvido, para obter o comportamento validado em QAS. Informar o objeto, os valores anteriores e propostos, as áreas envolvidas e os limites do escopo.</w:t>
        <w:br/>
        <w:t>O exemplo deve ser adaptado; não substitui o detalhamento técnico da alteração real.</w:t>
      </w:r>
    </w:p>
    <w:p>
      <w:r>
        <w:t>Os campos marcados com asterisco na interface são obrigatórios. Campos adicionais podem aparecer conforme o tipo, a etapa ou a configuração do formulário.</w:t>
      </w:r>
    </w:p>
    <w:p>
      <w:pPr>
        <w:pStyle w:val="Heading1"/>
        <w:pageBreakBefore/>
      </w:pPr>
      <w:r>
        <w:t>4 Preenchimento dos campos e planejamento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Opções ou orientação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Selecionar conforme a etapa e a responsabilidade do processo; consultar a seção de status.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Prioridade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Baixa, Média, Alta ou Urgente.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Impacto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Baixa, Média ou Alta.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Risco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Baixa, Média, Alta ou Muito Alta.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Ambiente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Selecionar Produção ou DEV / QA, conforme o ambiente em que a mudança será executada.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Altera tela e/ou funcionalidade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Indicar se haverá alteração de tela ou funcionalidade.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Haverá indisponibilidade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Informar se haverá interrupção de disponibilidade.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Impacto em processo core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Informar se afeta processo essencial do negócio.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Numero da Request (ToC)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Registrar a request de transporte correspondente, quando aplicável.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Datas planejadas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Preencher início e término com data e horário compatíveis com a janela e as atividades.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Data de Início Rollback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Planejar o início do rollback; considerar sua conclusão dentro da janela SAP. Preencher os demais campos de rollback apresentados.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Departamento e Categoria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Selecionar conforme a área e a natureza da mudança. Exemplos de categoria: Hardware, TI, Software, Network, Infraestrutura, Monitoramento e SAP.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Janela de Manutenção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Selecionar a janela aplicável quando disponível.</w:t>
            </w:r>
          </w:p>
        </w:tc>
      </w:tr>
      <w:tr>
        <w:trPr>
          <w:cantSplit/>
        </w:trPr>
        <w:tc>
          <w:tcPr>
            <w:tcW w:type="dxa" w:w="25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Ativos e anexos</w:t>
            </w:r>
          </w:p>
        </w:tc>
        <w:tc>
          <w:tcPr>
            <w:tcW w:type="dxa" w:w="75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Associar os ativos envolvidos e anexar documentos de apoio. O formulário indica arquivo inferior a 40 MB.</w:t>
            </w:r>
          </w:p>
        </w:tc>
      </w:tr>
    </w:tbl>
    <w:p>
      <w:r>
        <w:t>Não há matriz formal de priorização informada. A definição de prioridade, impacto e risco considera a experiência do líder da frente e a análise conjunta com a área de negócio. Registrar uma justificativa coerente com a realidade da intervenção, sujeita à avaliação do comitê.</w:t>
      </w:r>
    </w:p>
    <w:p>
      <w:pPr>
        <w:pStyle w:val="Heading2"/>
      </w:pPr>
      <w:r>
        <w:t>Justificativa</w:t>
      </w:r>
    </w:p>
    <w:p>
      <w:r>
        <w:t>Explicar o motivo, os benefícios esperados e o impacto caso a mudança não seja realizada. Evitar textos como “conforme solicitado” sem contexto.</w:t>
      </w:r>
    </w:p>
    <w:p>
      <w:pPr>
        <w:pStyle w:val="Heading2"/>
      </w:pPr>
      <w:r>
        <w:t>Análise de risco e impacto</w:t>
      </w:r>
    </w:p>
    <w:p>
      <w:r>
        <w:t>Identificar serviços, usuários, processos e integrações afetados; indisponibilidade, falhas possíveis, consequências e controles de redução do risco. Evitar “sem risco” sem avaliação fundamentada.</w:t>
      </w:r>
    </w:p>
    <w:p>
      <w:pPr>
        <w:pStyle w:val="Heading2"/>
      </w:pPr>
      <w:r>
        <w:t>Planos de implementação e rollback</w:t>
      </w:r>
    </w:p>
    <w:p>
      <w:r>
        <w:t>Descrever a sequência de execução, responsáveis, dependências e validações. Em Padrão, referenciar a KBA vigente com link obrigatório. No rollback, explicar como reverter ou recuperar, recursos necessários e critérios de acionamento. Se a reversão tradicional não for possível, registrar a condição e a alternativa de recuperação ou correção.</w:t>
      </w:r>
    </w:p>
    <w:p>
      <w:pPr>
        <w:pStyle w:val="Heading1"/>
        <w:pageBreakBefore/>
      </w:pPr>
      <w:r>
        <w:t>5 Evidências tarefas e associações</w:t>
      </w:r>
    </w:p>
    <w:p>
      <w:pPr>
        <w:pStyle w:val="Heading2"/>
      </w:pPr>
      <w:r>
        <w:t>Evidências de testes</w:t>
      </w:r>
    </w:p>
    <w:p>
      <w:r>
        <w:t>Para mudanças com QAS, incluir evidências dos testes realizados e dos resultados obtidos. Os prints devem ser legíveis, demonstrar o cenário e o resultado e apresentar a barra de tarefas com data e hora. As mudanças Padrão devem utilizar DTI em PDF anexado na aba Anotações, conforme CH-MPD010.</w:t>
      </w:r>
    </w:p>
    <w:p>
      <w:r>
        <w:t>A evidência deve permitir compreender o que foi testado e comprovar a validação prévia. Arquivar as evidências de testes e os demais anexos na aba Anotações da change. Links e documentos complementares apoiam a análise, mas não substituem os registros exigidos.</w:t>
      </w:r>
    </w:p>
    <w:p>
      <w:r>
        <w:t>Mudanças emergenciais também exigem testes prévios e toda a documentação necessária. Exceções são admitidas quando não houver tempo hábil para realizar os testes ou em situações muito específicas que dependam de terceiros. A exceção deve ser analisada pelo Comitê de Mudanças e aprovada por todos os aprovadores, com registro da justificativa, dos riscos e da decisão na aba Anotações da change.</w:t>
      </w:r>
    </w:p>
    <w:p>
      <w:pPr>
        <w:pStyle w:val="Heading2"/>
      </w:pPr>
      <w:r>
        <w:t>Aba Anotações</w:t>
      </w:r>
    </w:p>
    <w:p>
      <w:r>
        <w:t>A aba Anotações é o local correto para arquivar as evidências de testes e todos os anexos da change, incluindo DTI, Runbook, validações em Produção, comunicações, formalizações e documentação de apoio. Usar títulos claros para distinguir testes prévios, execução, validação e eventuais falhas.</w:t>
      </w:r>
    </w:p>
    <w:p>
      <w:pPr>
        <w:pStyle w:val="Heading2"/>
      </w:pPr>
      <w:r>
        <w:t>Aba Tarefas</w:t>
      </w:r>
    </w:p>
    <w:p>
      <w:r>
        <w:t>Registrar as atividades da execução, responsáveis e prazos. Referenciar o Runbook ou plano de cutover quando utilizado. Atualizar o andamento e concluir as tarefas efetivamente realizadas antes do encerramento. Para Operações, registrar explicitamente quem realizará o snapshot das máquinas virtuais abrangidas.</w:t>
      </w:r>
    </w:p>
    <w:p>
      <w:pPr>
        <w:pStyle w:val="Heading2"/>
      </w:pPr>
      <w:r>
        <w:t>Aba Associações</w:t>
      </w:r>
    </w:p>
    <w:p>
      <w:r>
        <w:t>Associar o ticket que originou a mudança e os demais registros relacionados, quando aplicável. O menu apresenta Liberação, Tickets que iniciaram esta mudança, Incidentes causados devido a esta mudança, Problema Existente, Projeto e Tarefa do projeto.</w:t>
      </w:r>
    </w:p>
    <w:p>
      <w:r>
        <w:drawing>
          <wp:inline xmlns:a="http://schemas.openxmlformats.org/drawingml/2006/main" xmlns:pic="http://schemas.openxmlformats.org/drawingml/2006/picture">
            <wp:extent cx="2286000" cy="1725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sociac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25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 Tipos de associação disponíveis na interface</w:t>
      </w:r>
    </w:p>
    <w:p>
      <w:pPr>
        <w:pStyle w:val="Heading2"/>
      </w:pPr>
      <w:r>
        <w:t>Qualidade dos registros</w:t>
      </w:r>
    </w:p>
    <w:p>
      <w:r>
        <w:t>Utilizar o número da change como referência entre tarefas, evidências, comunicações e planos. Evitar dados pessoais desnecessários em capturas. Nos registros internos, manter somente os detalhes técnicos necessários à execução e à rastreabilidade, observando os acessos autorizados.</w:t>
      </w:r>
    </w:p>
    <w:p>
      <w:pPr>
        <w:pStyle w:val="Heading1"/>
        <w:pageBreakBefore/>
      </w:pPr>
      <w:r>
        <w:t>6 Pré análise CAB e aprovações</w:t>
      </w:r>
    </w:p>
    <w:p>
      <w:pPr>
        <w:pStyle w:val="Heading2"/>
      </w:pPr>
      <w:r>
        <w:t>Agenda e prazo</w:t>
      </w:r>
    </w:p>
    <w:p>
      <w:r>
        <w:t>O CAB ocorre às terças e quintas-feiras, das 15h às 16h30. O prazo de cadastro de Changes Normais é até as 12h do dia da reunião. A orientação é concluir o cadastro preferencialmente até o dia anterior, para viabilizar a pré-análise.</w:t>
      </w:r>
    </w:p>
    <w:p>
      <w:r>
        <w:t>O criador da change é responsável pelas transições de Aberto para Planejamento e, depois, para Pré-Análise. Ao selecionar Pré-Análise, sinaliza que a mudança está pronta para análise técnica dos membros do CAB e defesa. Preferencialmente, deve concluir essa preparação até o fim do dia anterior. Os aprovadores devem realizar a pré-análise antes das 15h do dia do CAB; cadastros no próprio dia devem permitir tempo suficiente para essa avaliação.</w:t>
      </w:r>
    </w:p>
    <w:p>
      <w:r>
        <w:t>Inclusões após as 12h podem ser avaliadas excepcionalmente pelo Gestor de Mudanças, conforme volume e tempo para análise. Não há garantia de inclusão na pauta. A flexibilização não deve se tornar habitual, especialmente diante de aumento do volume.</w:t>
      </w:r>
    </w:p>
    <w:p>
      <w:pPr>
        <w:pStyle w:val="Heading2"/>
      </w:pPr>
      <w:r>
        <w:t>Preparação e defesa</w:t>
      </w:r>
    </w:p>
    <w:p>
      <w:pPr>
        <w:pStyle w:val="ListBullet"/>
      </w:pPr>
      <w:r>
        <w:t>Revisar formulário, testes, riscos, tarefas, implementação e rollback.</w:t>
      </w:r>
    </w:p>
    <w:p>
      <w:pPr>
        <w:pStyle w:val="ListBullet"/>
      </w:pPr>
      <w:r>
        <w:t>Corrigir os pontos identificados na pré-análise.</w:t>
      </w:r>
    </w:p>
    <w:p>
      <w:pPr>
        <w:pStyle w:val="ListBullet"/>
      </w:pPr>
      <w:r>
        <w:t>Regularizar changes pendentes de encerramento em nome do responsável antes de defender novas mudanças.</w:t>
      </w:r>
    </w:p>
    <w:p>
      <w:pPr>
        <w:pStyle w:val="ListBullet"/>
      </w:pPr>
      <w:r>
        <w:t>Apresentar objetivo, escopo, impacto, evidências, janela e recuperação no CAB; responder às dúvidas dos aprovadores.</w:t>
      </w:r>
    </w:p>
    <w:p>
      <w:pPr>
        <w:pStyle w:val="Heading2"/>
      </w:pPr>
      <w:r>
        <w:t>Solicitação e conclusão das aprovações</w:t>
      </w:r>
    </w:p>
    <w:p>
      <w:r>
        <w:t>Na aba Aprovações, encaminhar a solicitação aos representantes exigidos e acompanhar o resultado. Todos os cinco integrantes do núcleo, ou seus substitutos formalizados, precisam aprovar antes da execução. As aprovações de mudanças defendidas são realizadas durante a reunião.</w:t>
      </w:r>
    </w:p>
    <w:p>
      <w:r>
        <w:t>Para Change Padrão: acessar Aprovações &gt; + Solicitação de aprovação; selecionar o grupo 2-Aprovadores Change Padrão, selecionar todos os aprovadores e enviar. Criar chat no Teams com os aprovadores, informando número, objetivo, justificativa, janela e solicitação de aprovação. A reunião de defesa não é exigida para esse tipo.</w:t>
      </w:r>
    </w:p>
    <w:p>
      <w:pPr>
        <w:pStyle w:val="Heading2"/>
      </w:pPr>
      <w:r>
        <w:t>Critérios de Go e No Go</w:t>
      </w:r>
    </w:p>
    <w:p>
      <w:r>
        <w:t>Go: a defesa atende a todos os critérios do procedimento, incluindo documentação, análise técnica, análise do código pelo ABAP quando aplicável, compliance e requisitos processuais. No Go: a defesa não atende aos critérios ou apresenta pontos em desacordo; a execução não é autorizada.</w:t>
      </w:r>
    </w:p>
    <w:p>
      <w:pPr>
        <w:pStyle w:val="Heading2"/>
      </w:pPr>
      <w:r>
        <w:t>Rejeição e cancelamento</w:t>
      </w:r>
    </w:p>
    <w:p>
      <w:r>
        <w:t>Um aprovador pode rejeitar a solicitação. No exemplo do sistema, a rejeição aciona automaticamente o status Encerrada com Falha. Quando o registro estiver incorreto e precisar ser descartado, utilizar a opção Cancelar disponível após rejeitar, preservando o histórico. Rejeição antes da execução e falha de implementação são situações distintas e devem ser explicadas nas anotações para permitir interpretação correta dos indicadores.</w:t>
      </w:r>
    </w:p>
    <w:p>
      <w:pPr>
        <w:pStyle w:val="Heading1"/>
        <w:pageBreakBefore/>
      </w:pPr>
      <w:r>
        <w:t>7 Execução e transporte SAP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rPr>
          <w:cantSplit/>
          <w:tblHeader/>
        </w:trPr>
        <w:tc>
          <w:tcPr>
            <w:tcW w:type="dxa" w:w="33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Tipo ou classificação</w:t>
            </w:r>
          </w:p>
        </w:tc>
        <w:tc>
          <w:tcPr>
            <w:tcW w:type="dxa" w:w="67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Janela e condição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Padrão SAP</w:t>
            </w:r>
          </w:p>
        </w:tc>
        <w:tc>
          <w:tcPr>
            <w:tcW w:type="dxa" w:w="67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Diariamente às 9h. Aprovações concluídas até o dia anterior. Sem aprovação no prazo, aguardar a próxima janela, salvo exceção formalmente tratada.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Normal SAP com Melhoria ou Projetos</w:t>
            </w:r>
          </w:p>
        </w:tc>
        <w:tc>
          <w:tcPr>
            <w:tcW w:type="dxa" w:w="67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Domingo, com início às 10h.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Normal SAP com Ajuste, Corretiva ou Preventiva</w:t>
            </w:r>
          </w:p>
        </w:tc>
        <w:tc>
          <w:tcPr>
            <w:tcW w:type="dxa" w:w="67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Quarta-feira ou domingo, com início às 10h.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Emergencial</w:t>
            </w:r>
          </w:p>
        </w:tc>
        <w:tc>
          <w:tcPr>
            <w:tcW w:type="dxa" w:w="676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Data e horário definidos conforme necessidade e urgência, após avaliação e aprovações no eCAB.</w:t>
            </w:r>
          </w:p>
        </w:tc>
      </w:tr>
    </w:tbl>
    <w:p>
      <w:r>
        <w:t>Para a janela SAP de quarta-feira e domingo, o rollback deve estar previsto dentro da própria janela. O horário final não foi informado; deve ser definido no planejamento da change e confirmado antes da execução. A regra de Padrão SAP às 9h é específica e permanece separada das janelas de Changes Normais.</w:t>
      </w:r>
    </w:p>
    <w:p>
      <w:pPr>
        <w:pStyle w:val="Heading2"/>
      </w:pPr>
      <w:r>
        <w:t>Antes de transportar</w:t>
      </w:r>
    </w:p>
    <w:p>
      <w:pPr>
        <w:pStyle w:val="ListBullet"/>
      </w:pPr>
      <w:r>
        <w:t>Confirmar as aprovações obrigatórias no Freshservice.</w:t>
      </w:r>
    </w:p>
    <w:p>
      <w:pPr>
        <w:pStyle w:val="ListBullet"/>
      </w:pPr>
      <w:r>
        <w:t>Conferir a correspondência entre change, request e escopo aprovado.</w:t>
      </w:r>
    </w:p>
    <w:p>
      <w:pPr>
        <w:pStyle w:val="ListBullet"/>
      </w:pPr>
      <w:r>
        <w:t>Confirmar data, horário, executor, validação e disponibilidade das áreas envolvidas.</w:t>
      </w:r>
    </w:p>
    <w:p>
      <w:pPr>
        <w:pStyle w:val="ListBullet"/>
      </w:pPr>
      <w:r>
        <w:t>Verificar condições para rollback e documentos de apoio.</w:t>
      </w:r>
    </w:p>
    <w:p>
      <w:pPr>
        <w:pStyle w:val="ListBullet"/>
      </w:pPr>
      <w:r>
        <w:t>Conferir, na comunicação enviada pelo Teams ou por e-mail, a relação de mudanças aprovadas e autorizadas para transporte na janela prevista.</w:t>
      </w:r>
    </w:p>
    <w:p>
      <w:pPr>
        <w:pStyle w:val="Heading2"/>
      </w:pPr>
      <w:r>
        <w:t>Durante e após a execução</w:t>
      </w:r>
    </w:p>
    <w:p>
      <w:r>
        <w:t>Executar conforme o plano aprovado, registrar ocorrências e acompanhar o resultado. Após o transporte, validar em Produção, anexar as evidências na aba Anotações e atualizar as tarefas. Se houver falha, registrar o ocorrido e adotar o plano de recuperação aplicável.</w:t>
      </w:r>
    </w:p>
    <w:p>
      <w:r>
        <w:t>As demais mudanças devem seguir as janelas definidas para cada sistema, data center e demais itens de infraestrutura, conforme a planilha Janelas de Mudanças, disponível na base de conhecimento.</w:t>
      </w:r>
    </w:p>
    <w:p>
      <w:pPr>
        <w:pStyle w:val="Heading2"/>
      </w:pPr>
      <w:r>
        <w:t>Rastreabilidade da liberação</w:t>
      </w:r>
    </w:p>
    <w:p>
      <w:r>
        <w:t>A comunicação de transporte deve identificar as changes e requests liberadas, o responsável, a data e o horário. O chat e o e-mail apoiam a coordenação; o histórico formal de aprovação e execução deve permanecer rastreável no Freshservice.</w:t>
      </w:r>
    </w:p>
    <w:p>
      <w:pPr>
        <w:pStyle w:val="Heading1"/>
        <w:pageBreakBefore/>
      </w:pPr>
      <w:r>
        <w:t>8 Runbook e requisitos de Operações</w:t>
      </w:r>
    </w:p>
    <w:p>
      <w:r>
        <w:t>Para changes da Gerência de Operações, incluindo Infraestrutura, Redes e Segurança da Informação, anexar o Runbook em Excel à change. O roteiro deve refletir a intervenção real e apresentar atividades, responsáveis e planejamento de execução.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Aba do Runbook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Conteúdo esperado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Contatos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Participantes, equipe, papel, substituto, contatos e local de trabalho.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Plano de comunicação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Avisos e alinhamentos; participantes de Infraestrutura, Sistemas e Fornecedor; status das ações.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Start UP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Pré-atividades, preparação, implementação e pós-implementação; Go/No Go, sequência, descrição, responsável, data, início, fim e duração.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Rollback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Cenários de falha; ações de reversão ou recuperação; responsáveis e tempos previstos.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Risco e impacto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Eventos negativos, causas, mitigação, solução de contorno, probabilidade e impacto.</w:t>
            </w:r>
          </w:p>
        </w:tc>
      </w:tr>
    </w:tbl>
    <w:p>
      <w:pPr>
        <w:pStyle w:val="Heading2"/>
      </w:pPr>
      <w:r>
        <w:t>Proteção e recuperação obrigatórias conforme o escopo</w:t>
      </w:r>
    </w:p>
    <w:p>
      <w:pPr>
        <w:pStyle w:val="ListBullet"/>
      </w:pPr>
      <w:r>
        <w:t>Para máquinas virtuais abrangidas, realizar snapshot antes da intervenção e cadastrar na aba Tarefas a atividade e o responsável.</w:t>
      </w:r>
    </w:p>
    <w:p>
      <w:pPr>
        <w:pStyle w:val="ListBullet"/>
      </w:pPr>
      <w:r>
        <w:t>Para configurações e equipamentos, prever backup das configurações para rollback ou equipamento de backup previamente configurado.</w:t>
      </w:r>
    </w:p>
    <w:p>
      <w:pPr>
        <w:pStyle w:val="ListBullet"/>
      </w:pPr>
      <w:r>
        <w:t>Verificar se o mecanismo escolhido é aplicável à intervenção e se os recursos de recuperação estão disponíveis antes de iniciar.</w:t>
      </w:r>
    </w:p>
    <w:p>
      <w:pPr>
        <w:pStyle w:val="Heading2"/>
      </w:pPr>
      <w:r>
        <w:t>Comunicação e ciência da área impactada</w:t>
      </w:r>
    </w:p>
    <w:p>
      <w:r>
        <w:t>Solicitar ao RH o envio de comunicado interno para toda a empresa e obter formalização do líder da área impactada confirmando ciência da intervenção. Manter esses registros vinculados à change, em anotações ou anexos, para rastreabilidade.</w:t>
      </w:r>
    </w:p>
    <w:p>
      <w:pPr>
        <w:pStyle w:val="Heading2"/>
      </w:pPr>
      <w:r>
        <w:t>Validações</w:t>
      </w:r>
    </w:p>
    <w:p>
      <w:r>
        <w:t>Definir no Runbook as verificações compatíveis com o serviço: conectividade, acesso, disponibilidade, funcionamento de integrações, monitoramento e estabilidade, conforme a intervenção. Snapshots e backups são mecanismos de recuperação; não comprovam, por si só, o resultado de testes funcionais.</w:t>
      </w:r>
    </w:p>
    <w:p>
      <w:pPr>
        <w:pStyle w:val="Heading1"/>
        <w:pageBreakBefore/>
      </w:pPr>
      <w:r>
        <w:t>9 Status validação e encerramento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664"/>
        <w:gridCol w:w="7416"/>
      </w:tblGrid>
      <w:tr>
        <w:trPr>
          <w:cantSplit/>
          <w:tblHeader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Status no Freshservice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Utilização documentada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Aberto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Registro inicial da mudança.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Planejamento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Preparação das informações e dos planos; status indicado no procedimento de Change Padrão.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Pré Análise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O criador da change seleciona Pré-Análise quando ela está pronta para análise técnica dos membros do CAB e defesa.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Aguardando Aprovação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Acompanhamento das solicitações de aprovação.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Em execução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Execução e acompanhamento da change; registrar evidências da validação em Produção.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Liberação Pendente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Não utilizado no processo atual.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Revisão Pendente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Não utilizado no processo atual.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Encerrado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Conclusão bem-sucedida após validações e registros.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Encerrada com Falha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Resultado sem sucesso; também pode ser acionado automaticamente por rejeição, conforme fluxo observado.</w:t>
            </w:r>
          </w:p>
        </w:tc>
      </w:tr>
      <w:tr>
        <w:trPr>
          <w:cantSplit/>
        </w:trPr>
        <w:tc>
          <w:tcPr>
            <w:tcW w:type="dxa" w:w="266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Cancelado</w:t>
            </w:r>
          </w:p>
        </w:tc>
        <w:tc>
          <w:tcPr>
            <w:tcW w:type="dxa" w:w="741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Descarte do registro incorreto após rejeição, preservando o histórico.</w:t>
            </w:r>
          </w:p>
        </w:tc>
      </w:tr>
    </w:tbl>
    <w:p>
      <w:pPr>
        <w:pStyle w:val="Heading2"/>
      </w:pPr>
      <w:r>
        <w:t>Concluir a mudança</w:t>
      </w:r>
    </w:p>
    <w:p>
      <w:r>
        <w:t>Após a execução, o responsável deve validar em Produção se o resultado atende ao objetivo e se não há impactos não previstos. Anexar as evidências na aba Anotações, concluir as tarefas e adicionar as observações. Registrar datas e horários efetivos, resultado da implementação, testes posteriores e ocorrências relevantes.</w:t>
      </w:r>
    </w:p>
    <w:p>
      <w:r>
        <w:t>Quando aplicável, registrar o aceite da área solicitante. Encerrar com o status correspondente ao resultado real. Uma implementação que falhou não deve ser registrada como bem-sucedida. Documentar o ocorrido e encerrar com falha antes de abrir nova change destinada à correção, conforme a orientação operacional informada.</w:t>
      </w:r>
    </w:p>
    <w:p>
      <w:r>
        <w:t>O prazo máximo para encerramento da change é de 10 dias após a data registrada no campo “Data de Término Planejada”, que corresponde à data prevista para conclusão da execução da mudança, conforme definido no CAB.</w:t>
      </w:r>
    </w:p>
    <w:p>
      <w:pPr>
        <w:pStyle w:val="Heading1"/>
        <w:pageBreakBefore/>
      </w:pPr>
      <w:r>
        <w:t>10 Comunicação consultas e indicadores</w:t>
      </w:r>
    </w:p>
    <w:p>
      <w:pPr>
        <w:pStyle w:val="Heading2"/>
      </w:pPr>
      <w:r>
        <w:t>Teams e e mail</w:t>
      </w:r>
    </w:p>
    <w:p>
      <w:r>
        <w:t>Utilizar o Microsoft Teams e o e-mail para comunicar pauta, orientações, aprovações concluídas, janelas, execução, validações e pendências. O chat Change Advisory Board apoia a coordenação do processo. O registro de aprovação no Freshservice continua sendo necessário.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Momento</w:t>
            </w:r>
          </w:p>
        </w:tc>
        <w:tc>
          <w:tcPr>
            <w:tcW w:type="dxa" w:w="79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Conteúdo da comunicação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Antes do CAB</w:t>
            </w:r>
          </w:p>
        </w:tc>
        <w:tc>
          <w:tcPr>
            <w:tcW w:type="dxa" w:w="79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Relação prevista para defesa, período planejado, status e pendências identificadas na pré-análise.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Após aprovação</w:t>
            </w:r>
          </w:p>
        </w:tc>
        <w:tc>
          <w:tcPr>
            <w:tcW w:type="dxa" w:w="79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Número e link da change, request, responsável pelo transporte e data e horário autorizados.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Após execução</w:t>
            </w:r>
          </w:p>
        </w:tc>
        <w:tc>
          <w:tcPr>
            <w:tcW w:type="dxa" w:w="79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Solicitação de validação, evidências, resultado e orientação para conclusão de tarefas e encerramento.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Resultados</w:t>
            </w:r>
          </w:p>
        </w:tc>
        <w:tc>
          <w:tcPr>
            <w:tcW w:type="dxa" w:w="7920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Indicadores, período e filtros utilizados; pendências que exigem ação.</w:t>
            </w:r>
          </w:p>
        </w:tc>
      </w:tr>
    </w:tbl>
    <w:p>
      <w:pPr>
        <w:pStyle w:val="Heading2"/>
      </w:pPr>
      <w:r>
        <w:t>Modelo genérico de aviso de execução</w:t>
      </w:r>
    </w:p>
    <w:p>
      <w:r>
        <w:t>Changes aprovadas para a janela de [data e horário]: [números e links]. Requests: [identificadores]. Responsável pelo transporte: [função ou responsável]. Após a execução, as áreas responsáveis deverão validar em Produção e registrar evidências na aba Anotações. Concluir as tarefas e encerrar cada change conforme seu resultado.</w:t>
      </w:r>
    </w:p>
    <w:p>
      <w:pPr>
        <w:pStyle w:val="Heading2"/>
      </w:pPr>
      <w:r>
        <w:t>E-mail enviado após cada CAB</w:t>
      </w:r>
    </w:p>
    <w:p>
      <w:r>
        <w:t>Após cada comitê, comunicar por e-mail a relação das mudanças defendidas e aprovadas, com identificação, datas planejadas, tipo, prioridade, risco e impacto. Criar um grupo no Teams com os responsáveis pelas mudanças apresentadas para facilitar as validações pós-transporte, o registro das evidências e o encerramento das changes e tickets. O guia visual apresenta o exemplo com os dados ocultados.</w:t>
      </w:r>
    </w:p>
    <w:p>
      <w:pPr>
        <w:pStyle w:val="Heading2"/>
      </w:pPr>
      <w:r>
        <w:t>Consultas no módulo de mudanças</w:t>
      </w:r>
    </w:p>
    <w:p>
      <w:r>
        <w:t>Filtrar por espaço de trabalho, data planejada, status, status da aprovação, tipo, agente e outros critérios disponíveis. Clicar em Aplicar. Conferir os filtros ativos: o nome de uma visualização salva não garante que ela contenha somente registros abertos.</w:t>
      </w:r>
    </w:p>
    <w:p>
      <w:pPr>
        <w:pStyle w:val="Heading2"/>
      </w:pPr>
      <w:r>
        <w:t>Dashboard Gestão de Mudanças</w:t>
      </w:r>
    </w:p>
    <w:p>
      <w:r>
        <w:t>Acompanhar total de mudanças, volume por ano, encerradas com sucesso ou falha, abertas, abertas para CAB e pendentes de encerramento. Consultar distribuições por tipo, agente e grupo, incluindo pendências por agente e mudanças abertas por tipo.</w:t>
      </w:r>
    </w:p>
    <w:p>
      <w:r>
        <w:t>Antes de divulgar, verificar atualização, período e filtros. Distinguir falhas de execução de registros rejeitados e cancelados que passaram pela automação de falha. Evitar interpretar a contagem bruta de Encerrada com Falha como taxa de falha técnica sem essa verificação.</w:t>
      </w:r>
    </w:p>
    <w:p>
      <w:pPr>
        <w:pStyle w:val="Heading1"/>
        <w:pageBreakBefore/>
      </w:pPr>
      <w:r>
        <w:t>11 Checklists operacionais</w:t>
      </w:r>
    </w:p>
    <w:p>
      <w:pPr>
        <w:pStyle w:val="Heading2"/>
      </w:pPr>
      <w:r>
        <w:t>Antes da análise e da defesa</w:t>
      </w:r>
    </w:p>
    <w:p>
      <w:pPr>
        <w:pStyle w:val="ListBullet"/>
      </w:pPr>
      <w:r>
        <w:t>Tipo e classificação correspondem ao escopo.</w:t>
      </w:r>
    </w:p>
    <w:p>
      <w:pPr>
        <w:pStyle w:val="ListBullet"/>
      </w:pPr>
      <w:r>
        <w:t>Grupo e agente identificados.</w:t>
      </w:r>
    </w:p>
    <w:p>
      <w:pPr>
        <w:pStyle w:val="ListBullet"/>
      </w:pPr>
      <w:r>
        <w:t>Descrição e justificativa completas.</w:t>
      </w:r>
    </w:p>
    <w:p>
      <w:pPr>
        <w:pStyle w:val="ListBullet"/>
      </w:pPr>
      <w:r>
        <w:t>Prioridade, risco e impacto avaliados com a área de negócio.</w:t>
      </w:r>
    </w:p>
    <w:p>
      <w:pPr>
        <w:pStyle w:val="ListBullet"/>
      </w:pPr>
      <w:r>
        <w:t>Datas, janela, indisponibilidade e impacto em processo core preenchidos.</w:t>
      </w:r>
    </w:p>
    <w:p>
      <w:pPr>
        <w:pStyle w:val="ListBullet"/>
      </w:pPr>
      <w:r>
        <w:t>Plano de implementação e rollback definidos.</w:t>
      </w:r>
    </w:p>
    <w:p>
      <w:pPr>
        <w:pStyle w:val="ListBullet"/>
      </w:pPr>
      <w:r>
        <w:t>Testes e evidências incluídos; DTI em PDF em Anotações para Change Padrão.</w:t>
      </w:r>
    </w:p>
    <w:p>
      <w:pPr>
        <w:pStyle w:val="ListBullet"/>
      </w:pPr>
      <w:r>
        <w:t>KBA vigente vinculada ao Plano de Implementação para Padrão.</w:t>
      </w:r>
    </w:p>
    <w:p>
      <w:pPr>
        <w:pStyle w:val="ListBullet"/>
      </w:pPr>
      <w:r>
        <w:t>Tarefas e associações revisadas.</w:t>
      </w:r>
    </w:p>
    <w:p>
      <w:pPr>
        <w:pStyle w:val="ListBullet"/>
      </w:pPr>
      <w:r>
        <w:t>Runbook, proteção, comunicação e ciência formal incluídos para Operações.</w:t>
      </w:r>
    </w:p>
    <w:p>
      <w:pPr>
        <w:pStyle w:val="ListBullet"/>
      </w:pPr>
      <w:r>
        <w:t>Pendências de encerramento regularizadas antes de nova defesa.</w:t>
      </w:r>
    </w:p>
    <w:p>
      <w:pPr>
        <w:pStyle w:val="Heading2"/>
      </w:pPr>
      <w:r>
        <w:t>Antes de executar</w:t>
      </w:r>
    </w:p>
    <w:p>
      <w:pPr>
        <w:pStyle w:val="ListBullet"/>
      </w:pPr>
      <w:r>
        <w:t>Cinco aprovações obrigatórias concluídas ou representantes formalmente substituídos.</w:t>
      </w:r>
    </w:p>
    <w:p>
      <w:pPr>
        <w:pStyle w:val="ListBullet"/>
      </w:pPr>
      <w:r>
        <w:t>Change e request correspondem ao conteúdo aprovado.</w:t>
      </w:r>
    </w:p>
    <w:p>
      <w:pPr>
        <w:pStyle w:val="ListBullet"/>
      </w:pPr>
      <w:r>
        <w:t>Janela, executor e responsáveis pela validação confirmados.</w:t>
      </w:r>
    </w:p>
    <w:p>
      <w:pPr>
        <w:pStyle w:val="ListBullet"/>
      </w:pPr>
      <w:r>
        <w:t>Recursos de reversão ou recuperação disponíveis.</w:t>
      </w:r>
    </w:p>
    <w:p>
      <w:pPr>
        <w:pStyle w:val="ListBullet"/>
      </w:pPr>
      <w:r>
        <w:t>Snapshot das VMs e backup ou contingência aplicáveis preparados e registrados.</w:t>
      </w:r>
    </w:p>
    <w:p>
      <w:pPr>
        <w:pStyle w:val="ListBullet"/>
      </w:pPr>
      <w:r>
        <w:t>Comunicações e alinhamentos realizados.</w:t>
      </w:r>
    </w:p>
    <w:p>
      <w:pPr>
        <w:pStyle w:val="Heading2"/>
      </w:pPr>
      <w:r>
        <w:t>Antes de encerrar</w:t>
      </w:r>
    </w:p>
    <w:p>
      <w:pPr>
        <w:pStyle w:val="ListBullet"/>
      </w:pPr>
      <w:r>
        <w:t>Resultado validado em Produção.</w:t>
      </w:r>
    </w:p>
    <w:p>
      <w:pPr>
        <w:pStyle w:val="ListBullet"/>
      </w:pPr>
      <w:r>
        <w:t>Evidências e observações registradas em Anotações.</w:t>
      </w:r>
    </w:p>
    <w:p>
      <w:pPr>
        <w:pStyle w:val="ListBullet"/>
      </w:pPr>
      <w:r>
        <w:t>Datas e horários efetivos informados.</w:t>
      </w:r>
    </w:p>
    <w:p>
      <w:pPr>
        <w:pStyle w:val="ListBullet"/>
      </w:pPr>
      <w:r>
        <w:t>Tarefas concluídas e ocorrências documentadas.</w:t>
      </w:r>
    </w:p>
    <w:p>
      <w:pPr>
        <w:pStyle w:val="ListBullet"/>
      </w:pPr>
      <w:r>
        <w:t>Status corresponde ao sucesso, falha ou cancelamento.</w:t>
      </w:r>
    </w:p>
    <w:p>
      <w:pPr>
        <w:pStyle w:val="ListBullet"/>
      </w:pPr>
      <w:r>
        <w:t>Falhas e necessidade de nova change corretiva devidamente registradas.</w:t>
      </w:r>
    </w:p>
    <w:p>
      <w:pPr>
        <w:pStyle w:val="Heading1"/>
        <w:pageBreakBefore/>
      </w:pPr>
      <w:r>
        <w:t>12 Regras consolidadas e referências</w:t>
      </w:r>
    </w:p>
    <w:p>
      <w:pPr>
        <w:pStyle w:val="Heading2"/>
      </w:pPr>
      <w:r>
        <w:t>Regras consolidadas e complementações</w:t>
      </w:r>
    </w:p>
    <w:p>
      <w:r>
        <w:t>As definições confirmadas na revisão estão consolidadas abaixo. O horário final das janelas SAP e os responsáveis pelas demais transições de status devem ser formalizados pela governança interna.</w:t>
      </w:r>
    </w:p>
    <w:p>
      <w:pPr>
        <w:pStyle w:val="ListBullet"/>
      </w:pPr>
      <w:r>
        <w:t>Horário final e duração das janelas SAP, garantindo tempo para rollback.</w:t>
      </w:r>
    </w:p>
    <w:p>
      <w:pPr>
        <w:pStyle w:val="ListBullet"/>
      </w:pPr>
      <w:r>
        <w:t>O prazo máximo para encerramento da change é de 10 dias após a data registrada no campo “Data de Término Planejada”, que corresponde à data prevista para conclusão da execução da mudança, conforme definido no CAB.</w:t>
      </w:r>
    </w:p>
    <w:p>
      <w:pPr>
        <w:pStyle w:val="ListBullet"/>
      </w:pPr>
      <w:r>
        <w:t>O criador realiza as transições de Aberto para Planejamento e Pré-Análise. Os responsáveis pelas demais transições devem ser formalizados pela governança interna.</w:t>
      </w:r>
    </w:p>
    <w:p>
      <w:pPr>
        <w:pStyle w:val="ListBullet"/>
      </w:pPr>
      <w:r>
        <w:t>Mudanças emergenciais também exigem testes prévios e toda a documentação necessária. Exceções são admitidas quando não houver tempo hábil para realizar os testes ou em situações muito específicas que dependam de terceiros. A exceção deve ser analisada pelo Comitê de Mudanças e aprovada por todos os aprovadores, com registro da justificativa, dos riscos e da decisão na aba Anotações da change.</w:t>
      </w:r>
    </w:p>
    <w:p>
      <w:pPr>
        <w:pStyle w:val="ListBullet"/>
      </w:pPr>
      <w:r>
        <w:t>Go: a defesa atende a todos os critérios do procedimento, incluindo documentação, análise técnica, análise do código pelo ABAP quando aplicável, compliance e requisitos processuais. No Go: a defesa não atende aos critérios ou apresenta pontos em desacordo; a execução não é autorizada.</w:t>
      </w:r>
    </w:p>
    <w:p>
      <w:pPr>
        <w:pStyle w:val="Heading2"/>
      </w:pPr>
      <w:r>
        <w:t>Referências internas utilizadas</w:t>
      </w:r>
    </w:p>
    <w:p>
      <w:r>
        <w:t>CH-MPD010 — Procedimento para Criação e Execução de Change Padrão, versão apresentada com modificação em 21 de setembro de 2026. Fluxograma interno de Gestão de Mudanças. Capturas do Freshservice, Runbook de Operações, dashboard e comunicações de CAB fornecidas pelo Gestor de Mudanças. Regras complementares confirmadas durante a elaboração deste artigo.</w:t>
      </w:r>
    </w:p>
    <w:p>
      <w:r>
        <w:t>As telas e estruturas reais foram preservadas como exemplos. Textos preenchidos pelos colaboradores e dados pessoais de terceiros foram ocultados. A identificação do autor foi mantida conforme sua autorização.</w:t>
      </w:r>
    </w:p>
    <w:p>
      <w:pPr>
        <w:pStyle w:val="Heading2"/>
      </w:pPr>
      <w:r>
        <w:t>Manutenção do artigo</w:t>
      </w:r>
    </w:p>
    <w:p>
      <w:r>
        <w:t>Autor e responsável pelo conteúdo: Matuzalem Kleyton Lopes — Gestor de Mudanças. Revisar quando houver alterações em agenda, janelas, aprovação, campos, regras de execução ou encerramento. Atualizar a versão e registrar a alteração. Código definitivo, aprovadores do documento e periodicidade de revisão devem ser estabelecidos pela governança interna.</w:t>
      </w:r>
    </w:p>
    <w:p>
      <w:pPr>
        <w:pStyle w:val="Heading2"/>
      </w:pPr>
      <w:r>
        <w:t>Histórico de revisão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008"/>
        <w:gridCol w:w="1728"/>
        <w:gridCol w:w="7344"/>
      </w:tblGrid>
      <w:tr>
        <w:trPr>
          <w:cantSplit/>
          <w:tblHeader/>
        </w:trPr>
        <w:tc>
          <w:tcPr>
            <w:tcW w:type="dxa" w:w="100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Versão</w:t>
            </w:r>
          </w:p>
        </w:tc>
        <w:tc>
          <w:tcPr>
            <w:tcW w:type="dxa" w:w="172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type="dxa" w:w="734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Alteração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type="dxa" w:w="1728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23/10/2026</w:t>
            </w:r>
          </w:p>
        </w:tc>
        <w:tc>
          <w:tcPr>
            <w:tcW w:type="dxa" w:w="734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Correção de todas as tabelas com larguras explícitas de células, quebra de texto e margens internas; conteúdo e telas preservados.</w:t>
            </w:r>
          </w:p>
        </w:tc>
      </w:tr>
      <w:tr>
        <w:trPr/>
        <w:tc>
          <w:tcPr>
            <w:tcW w:type="dxa" w:w="1008"/>
          </w:tcPr>
          <w:p>
            <w:r>
              <w:rPr>
                <w:sz w:val="19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26/10/2026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Consolidação da revisão do autor: responsabilidades e aprovação final; DTI; ambientes; anexos; janelas; prazo de encerramento; Pré-Análise; exceções emergenciais; Go/No Go; e-mail pós-CAB e item 11.</w:t>
            </w:r>
          </w:p>
        </w:tc>
      </w:tr>
    </w:tbl>
    <w:p>
      <w:pPr>
        <w:pStyle w:val="Heading1"/>
        <w:pageBreakBefore/>
      </w:pPr>
      <w:r>
        <w:t>Guia visual de abertura do formulário</w:t>
      </w:r>
    </w:p>
    <w:p>
      <w:r>
        <w:t>Tela real do formulário inicial. Os asteriscos identificam obrigatoriedade. Nenhum preenchimento de colaborador foi reproduzido.</w:t>
      </w:r>
    </w:p>
    <w:p>
      <w:r>
        <w:drawing>
          <wp:inline xmlns:a="http://schemas.openxmlformats.org/drawingml/2006/main" xmlns:pic="http://schemas.openxmlformats.org/drawingml/2006/picture">
            <wp:extent cx="5029200" cy="5162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orm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6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Identificação classificação inicial e responsáveis</w:t>
      </w:r>
    </w:p>
    <w:p>
      <w:pPr>
        <w:pStyle w:val="Heading1"/>
        <w:pageBreakBefore/>
      </w:pPr>
      <w:r>
        <w:t>Guia visual de descrição e datas</w:t>
      </w:r>
    </w:p>
    <w:p>
      <w:r>
        <w:t>Preencher o objetivo e o escopo com clareza. Selecionar datas e horários coerentes com a janela. Revisar categoria, departamento e ativos antes de enviar.</w:t>
      </w:r>
    </w:p>
    <w:p>
      <w:r>
        <w:drawing>
          <wp:inline xmlns:a="http://schemas.openxmlformats.org/drawingml/2006/main" xmlns:pic="http://schemas.openxmlformats.org/drawingml/2006/picture">
            <wp:extent cx="4754880" cy="5111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orm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1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Descrição planejamento e envio do registro</w:t>
      </w:r>
    </w:p>
    <w:p>
      <w:pPr>
        <w:pStyle w:val="Heading1"/>
        <w:pageBreakBefore/>
      </w:pPr>
      <w:r>
        <w:t>Guia visual do planejamento</w:t>
      </w:r>
    </w:p>
    <w:p>
      <w:r>
        <w:t>Esta área contém os planos utilizados na avaliação da mudança. A análise deve explicar as consequências da falha e as medidas para reduzir os riscos.</w:t>
      </w:r>
    </w:p>
    <w:p>
      <w:r>
        <w:drawing>
          <wp:inline xmlns:a="http://schemas.openxmlformats.org/drawingml/2006/main" xmlns:pic="http://schemas.openxmlformats.org/drawingml/2006/picture">
            <wp:extent cx="5486400" cy="4533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anej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Justificativa risco implementação e rollback</w:t>
      </w:r>
    </w:p>
    <w:p>
      <w:pPr>
        <w:pStyle w:val="Heading2"/>
      </w:pPr>
      <w:r>
        <w:t>Verificação antes da análise</w:t>
      </w:r>
    </w:p>
    <w:p>
      <w:r>
        <w:t>A justificativa explica por que mudar; a análise explica o que pode ocorrer; a implementação explica como executar; o rollback explica como reverter ou recuperar. Verificar a coerência entre os quatro campos.</w:t>
      </w:r>
    </w:p>
    <w:p>
      <w:pPr>
        <w:pStyle w:val="Heading1"/>
        <w:pageBreakBefore/>
      </w:pPr>
      <w:r>
        <w:t>Guia visual de propriedades e tarefas</w:t>
      </w:r>
    </w:p>
    <w:p>
      <w:r>
        <w:t>As capturas preservam os rótulos do painel lateral. Os valores do registro e o conteúdo da tarefa estão ocultos. Os blocos cinza não representam valores recomendados.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5328"/>
      </w:tblGrid>
      <w:tr>
        <w:trPr/>
        <w:tc>
          <w:tcPr>
            <w:tcW w:type="dxa" w:w="44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4560" cy="685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prop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68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601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tas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6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Telas reais  Propriedades da change e detalhe de tarefa</w:t>
      </w:r>
    </w:p>
    <w:p>
      <w:r>
        <w:t>Na change, definir o agente executor; em cada tarefa, identificar o responsável pela atividade, prazo e andamento. O término da tarefa deve corresponder à realização efetiva da atividade.</w:t>
      </w:r>
    </w:p>
    <w:p>
      <w:pPr>
        <w:pStyle w:val="Heading1"/>
        <w:pageBreakBefore/>
      </w:pPr>
      <w:r>
        <w:t>Guia visual de status e classificação</w:t>
      </w:r>
    </w:p>
    <w:p>
      <w:r>
        <w:t>Preservar os nomes das opções disponíveis no sistema. Liberação Pendente e Revisão Pendente existem na lista, porém não são utilizados no processo atual.</w:t>
      </w:r>
    </w:p>
    <w:p>
      <w:r>
        <w:drawing>
          <wp:inline xmlns:a="http://schemas.openxmlformats.org/drawingml/2006/main" xmlns:pic="http://schemas.openxmlformats.org/drawingml/2006/picture">
            <wp:extent cx="4663440" cy="16008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tatus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60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Primeira parte da lista de status</w:t>
      </w:r>
    </w:p>
    <w:p>
      <w:r>
        <w:drawing>
          <wp:inline xmlns:a="http://schemas.openxmlformats.org/drawingml/2006/main" xmlns:pic="http://schemas.openxmlformats.org/drawingml/2006/picture">
            <wp:extent cx="4663440" cy="18684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tatus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868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Continuação da lista de status</w:t>
      </w:r>
    </w:p>
    <w:p>
      <w:r>
        <w:drawing>
          <wp:inline xmlns:a="http://schemas.openxmlformats.org/drawingml/2006/main" xmlns:pic="http://schemas.openxmlformats.org/drawingml/2006/picture">
            <wp:extent cx="2011680" cy="20385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3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Classificações da mudança</w:t>
      </w:r>
    </w:p>
    <w:p>
      <w:pPr>
        <w:pStyle w:val="Heading1"/>
        <w:pageBreakBefore/>
      </w:pPr>
      <w:r>
        <w:t>Guia visual das aprovações</w:t>
      </w:r>
    </w:p>
    <w:p>
      <w:r>
        <w:t>A aba Aprovações apresenta a cadeia, a regra de aprovação e as ações Aprovar e Rejeitar. O conteúdo do registro, as pessoas e os dados preenchidos foram ocultados.</w:t>
      </w:r>
    </w:p>
    <w:p>
      <w:r>
        <w:drawing>
          <wp:inline xmlns:a="http://schemas.openxmlformats.org/drawingml/2006/main" xmlns:pic="http://schemas.openxmlformats.org/drawingml/2006/picture">
            <wp:extent cx="6217920" cy="894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pprov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9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Cadeia de aprovação e ações do aprovador</w:t>
      </w:r>
    </w:p>
    <w:p>
      <w:pPr>
        <w:pStyle w:val="Heading2"/>
      </w:pPr>
      <w:r>
        <w:t>Sequência de verificação</w:t>
      </w:r>
    </w:p>
    <w:p>
      <w:pPr>
        <w:pStyle w:val="ListBullet"/>
      </w:pPr>
      <w:r>
        <w:t>Abrir a change correta e acessar Aprovações.</w:t>
      </w:r>
    </w:p>
    <w:p>
      <w:pPr>
        <w:pStyle w:val="ListBullet"/>
      </w:pPr>
      <w:r>
        <w:t>Conferir os representantes necessários e a regra de aprovação.</w:t>
      </w:r>
    </w:p>
    <w:p>
      <w:pPr>
        <w:pStyle w:val="ListBullet"/>
      </w:pPr>
      <w:r>
        <w:t>Realizar a avaliação técnica e de negócio antes da decisão.</w:t>
      </w:r>
    </w:p>
    <w:p>
      <w:pPr>
        <w:pStyle w:val="ListBullet"/>
      </w:pPr>
      <w:r>
        <w:t>Acompanhar as cinco aprovações obrigatórias; tratar ausências com substituição formal.</w:t>
      </w:r>
    </w:p>
    <w:p>
      <w:pPr>
        <w:pStyle w:val="ListBullet"/>
      </w:pPr>
      <w:r>
        <w:t>Consultar o resultado registrado antes de liberar a execução.</w:t>
      </w:r>
    </w:p>
    <w:p>
      <w:r>
        <w:t>A imagem é uma evidência da interface, não um modelo do conjunto de aprovadores. A governança exige os cinco papéis descritos neste artigo.</w:t>
      </w:r>
    </w:p>
    <w:p>
      <w:pPr>
        <w:pStyle w:val="Heading2"/>
      </w:pPr>
      <w:r>
        <w:t>Associações</w:t>
      </w:r>
    </w:p>
    <w:p>
      <w:r>
        <w:drawing>
          <wp:inline xmlns:a="http://schemas.openxmlformats.org/drawingml/2006/main" xmlns:pic="http://schemas.openxmlformats.org/drawingml/2006/picture">
            <wp:extent cx="2743200" cy="20709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sociac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0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Registros que podem ser associados à change</w:t>
      </w:r>
    </w:p>
    <w:p>
      <w:pPr>
        <w:pStyle w:val="Heading2"/>
      </w:pPr>
      <w:r>
        <w:t>Ambientes cadastrados</w:t>
      </w:r>
    </w:p>
    <w:p>
      <w:r>
        <w:t>Selecionar Produção ou DEV / QA conforme o ambiente em que a mudança será executada.</w:t>
      </w:r>
    </w:p>
    <w:p>
      <w:r>
        <w:drawing>
          <wp:inline xmlns:a="http://schemas.openxmlformats.org/drawingml/2006/main" xmlns:pic="http://schemas.openxmlformats.org/drawingml/2006/picture">
            <wp:extent cx="1371600" cy="13300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mbien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Guia visual de consultas e filtros</w:t>
      </w:r>
    </w:p>
    <w:p>
      <w:r>
        <w:t>Painel real de filtros do Freshservice. Datas e agente do exemplo foram ocultados. Selecionar os critérios adequados à finalidade da consulta e clicar em Aplicar.</w:t>
      </w:r>
    </w:p>
    <w:p>
      <w:r>
        <w:drawing>
          <wp:inline xmlns:a="http://schemas.openxmlformats.org/drawingml/2006/main" xmlns:pic="http://schemas.openxmlformats.org/drawingml/2006/picture">
            <wp:extent cx="2286000" cy="73018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ilt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30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Painel de filtros da listagem de mudanças</w:t>
      </w:r>
    </w:p>
    <w:p>
      <w:pPr>
        <w:pStyle w:val="Heading1"/>
        <w:pageBreakBefore/>
      </w:pPr>
      <w:r>
        <w:t>Guia visual do dashboard</w:t>
      </w:r>
    </w:p>
    <w:p>
      <w:r>
        <w:t>Dashboard real de Gestão de Mudanças. Os nomes de pessoas foram ocultados. Os números e gráficos são exemplos históricos do painel e não representam indicadores atuais; os títulos e a organização dos componentes foram preservados.</w:t>
      </w:r>
    </w:p>
    <w:p>
      <w:r>
        <w:drawing>
          <wp:inline xmlns:a="http://schemas.openxmlformats.org/drawingml/2006/main" xmlns:pic="http://schemas.openxmlformats.org/drawingml/2006/picture">
            <wp:extent cx="6217920" cy="34816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Tela real  Indicadores e componentes do dashboard</w:t>
      </w:r>
    </w:p>
    <w:p>
      <w:pPr>
        <w:pStyle w:val="Heading2"/>
      </w:pPr>
      <w:r>
        <w:t>Leitura e divulgação</w:t>
      </w:r>
    </w:p>
    <w:p>
      <w:r>
        <w:t>Conferir período, filtros e atualização antes de compartilhar no Teams ou por e-mail. Interpretar pendências e falhas com o histórico da change, especialmente quando a rejeição aciona automaticamente um status de falha.</w:t>
      </w:r>
    </w:p>
    <w:p>
      <w:pPr>
        <w:pStyle w:val="Heading2"/>
      </w:pPr>
      <w:r>
        <w:t>Fluxo de status apresentado no treinamento</w:t>
      </w:r>
    </w:p>
    <w:p>
      <w:r>
        <w:drawing>
          <wp:inline xmlns:a="http://schemas.openxmlformats.org/drawingml/2006/main" xmlns:pic="http://schemas.openxmlformats.org/drawingml/2006/picture">
            <wp:extent cx="6217920" cy="4801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Fluxo real  Visão resumida utilizada no treinamento</w:t>
      </w:r>
    </w:p>
    <w:p>
      <w:r>
        <w:t>O diagrama é uma visão resumida. Encerrado e Encerrada com Falha representam resultados alternativos; uma mudança bem-sucedida não precisa passar por falha. Cancelado também está disponível no sistema, conforme o tratamento descrito.</w:t>
      </w:r>
    </w:p>
    <w:p>
      <w:pPr>
        <w:pStyle w:val="Heading1"/>
        <w:pageBreakBefore/>
      </w:pPr>
      <w:r>
        <w:t>Guia visual do Runbook de Operações</w:t>
      </w:r>
    </w:p>
    <w:p>
      <w:r>
        <w:t>Estrutura real do Excel utilizado pela Gerência de Operações. As atividades e os responsáveis do exemplo foram ocultados. Cada intervenção exige seu próprio detalhamento.</w:t>
      </w:r>
    </w:p>
    <w:p>
      <w:r>
        <w:drawing>
          <wp:inline xmlns:a="http://schemas.openxmlformats.org/drawingml/2006/main" xmlns:pic="http://schemas.openxmlformats.org/drawingml/2006/picture">
            <wp:extent cx="6217920" cy="5160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ntac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Modelo real  Contatos papéis e substitutos</w:t>
      </w:r>
    </w:p>
    <w:p>
      <w:r>
        <w:drawing>
          <wp:inline xmlns:a="http://schemas.openxmlformats.org/drawingml/2006/main" xmlns:pic="http://schemas.openxmlformats.org/drawingml/2006/picture">
            <wp:extent cx="6217920" cy="5221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om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2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Modelo real  Comunicação e conferência entre participantes</w:t>
      </w:r>
    </w:p>
    <w:p>
      <w:r>
        <w:drawing>
          <wp:inline xmlns:a="http://schemas.openxmlformats.org/drawingml/2006/main" xmlns:pic="http://schemas.openxmlformats.org/drawingml/2006/picture">
            <wp:extent cx="6217920" cy="3099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unboo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Modelo real  Sequência operacional e planejamento de execução</w:t>
      </w:r>
    </w:p>
    <w:p>
      <w:r>
        <w:drawing>
          <wp:inline xmlns:a="http://schemas.openxmlformats.org/drawingml/2006/main" xmlns:pic="http://schemas.openxmlformats.org/drawingml/2006/picture">
            <wp:extent cx="6217920" cy="11261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rollba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2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Modelo real  Organização das ações de rollback</w:t>
      </w:r>
    </w:p>
    <w:p>
      <w:pPr>
        <w:pStyle w:val="Heading2"/>
      </w:pPr>
      <w:r>
        <w:t>Como preencher de forma útil</w:t>
      </w:r>
    </w:p>
    <w:p>
      <w:r>
        <w:t>Uma atividade por linha, em ordem de execução, com responsável e horário. Detalhar pré-atividades, implementação e validação. Registrar os critérios de prosseguir ou interromper, bem como os cenários de recuperação. Preencher as linhas conforme a mudança; não copiar o conteúdo de outra intervenção sem revisão.</w:t>
      </w:r>
    </w:p>
    <w:p>
      <w:pPr>
        <w:pStyle w:val="Heading1"/>
        <w:pageBreakBefore/>
      </w:pPr>
      <w:r>
        <w:t>Guia visual do e-mail após o CAB</w:t>
      </w:r>
    </w:p>
    <w:p>
      <w:r>
        <w:t>Exemplo real da estrutura do e-mail pós-comitê. Os registros de mudanças foram ocultados; os títulos das colunas e as orientações de validação foram preservados.</w:t>
      </w:r>
    </w:p>
    <w:p>
      <w:r>
        <w:drawing>
          <wp:inline xmlns:a="http://schemas.openxmlformats.org/drawingml/2006/main" xmlns:pic="http://schemas.openxmlformats.org/drawingml/2006/picture">
            <wp:extent cx="6217920" cy="24049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email_ca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0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relação enviada permite conferir as mudanças aprovadas e suas datas planejadas. O grupo no Teams reúne os responsáveis para acompanhar a validação após o transporte. O horário vigente do CAB é às terças e quintas, das 15h às 16h30.</w:t>
      </w:r>
    </w:p>
    <w:p>
      <w:pPr>
        <w:pStyle w:val="Heading2"/>
      </w:pPr>
      <w:r>
        <w:t>Modelo de mensagem</w:t>
      </w:r>
    </w:p>
    <w:p>
      <w:r>
        <w:t>Assunto: CAB — Mudanças aprovadas em [data]</w:t>
        <w:br/>
        <w:t>Olá, equipe.</w:t>
        <w:br/>
        <w:t>Segue a relação das mudanças defendidas e aprovadas no Comitê de Mudanças de [data], com as respectivas janelas autorizadas.</w:t>
        <w:br/>
        <w:t>Os responsáveis devem acompanhar a execução e realizar a validação em Produção. Arquivar as evidências e os anexos na aba Anotações, concluir as tarefas e encerrar a change em até 10 dias após a Data de Término Planejada.</w:t>
        <w:br/>
        <w:t>O grupo específico no Teams será utilizado para coordenar as validações pós-transporte.</w:t>
        <w:br/>
        <w:t>Matuzalem Kleyton Lopes — Gestor de Mudanças</w:t>
      </w:r>
    </w:p>
    <w:p>
      <w:pPr>
        <w:pStyle w:val="Heading1"/>
        <w:pageBreakBefore/>
      </w:pPr>
      <w:r>
        <w:t>Roteiro detalhado da Change Padrão</w:t>
      </w:r>
    </w:p>
    <w:p>
      <w:r>
        <w:t>Aplicar em conjunto com as seções de abertura, evidências e aprovação. Este roteiro consolida o procedimento interno CH-MPD010.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Passo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9"/>
              </w:rPr>
              <w:t>Ação e resultado esperado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 Enquadrar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Confirmar recorrência, repetibilidade, baixo risco e autorização formal. A primeira execução segue como Normal.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 Validar a KBA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Confirmar vigência, aprovação e aderência ao escopo. Atualizar o procedimento antes de utilizá-lo se houver desatualização.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 Criar o registro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Selecionar Padrão e informar título específico, solicitante, equipe e executor.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4 Descrever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Detalhar o objeto, sistema, módulo, identificadores e escopo.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5 Justificar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Explicar necessidade, benefício e impacto da não realização.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6 Avaliar risco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Registrar impactos e controles compatíveis com a alteração.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7 Planejar implementação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Incluir obrigatoriamente o link da KBA e as validações previstas.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8 Planejar recuperação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Definir rollback viável ou registrar impossibilidade e estratégia alternativa.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9 Planejar datas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Usar Planejamento durante a preparação e preencher datas, ambiente e demais propriedades.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 Anexar testes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Adicionar DTI em PDF na aba Anotações, com capturas legíveis e data e hora.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11 Solicitar aprovação da change padrão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Selecionar a opção “2-Aprovadores Change Padrão” e escolher todos os aprovadores existentes. Criar um chat específico no Teams para essa change, comunicar os envolvidos e solicitar a aprovação.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12 Conferir liberação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Verificar todas as aprovações e a janela; para SAP, aprovação até o dia anterior e transporte às 9h.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13 Executar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Seguir o procedimento vigente e registrar ocorrências.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14 Validar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Testar em Produção e anexar evidências; obter aceite quando aplicável.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15 Encerrar</w:t>
            </w:r>
          </w:p>
        </w:tc>
        <w:tc>
          <w:tcPr>
            <w:tcW w:type="dxa" w:w="7776"/>
            <w:tcMar>
              <w:top w:w="60" w:type="dxa"/>
              <w:left w:w="60" w:type="dxa"/>
              <w:bottom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Concluir tarefas, registrar observações, horários e resultado; encerrar com sucesso ou falha conforme ocorrido.</w:t>
            </w:r>
          </w:p>
        </w:tc>
      </w:tr>
    </w:tbl>
    <w:p>
      <w:pPr>
        <w:pStyle w:val="Heading1"/>
        <w:pageBreakBefore/>
      </w:pPr>
      <w:r>
        <w:t>Roteiros de condução Normal e Emergencial</w:t>
      </w:r>
    </w:p>
    <w:p>
      <w:pPr>
        <w:pStyle w:val="Heading2"/>
      </w:pPr>
      <w:r>
        <w:t>Mudança Normal</w:t>
      </w:r>
    </w:p>
    <w:p>
      <w:r>
        <w:t>1. Planejar a alteração e cadastrar preferencialmente até o dia anterior ao CAB. O prazo aceito é até as 12h do dia da reunião.</w:t>
        <w:br/>
        <w:t>2. Completar planos, tarefas, associações e evidências; aplicar Runbook quando for de Operações.</w:t>
        <w:br/>
        <w:t>3. O criador deve alterar o status para Pré-Análise quando a change estiver pronta para análise técnica e defesa; corrigir as pendências identificadas.</w:t>
        <w:br/>
        <w:t>4. Defender no CAB de terça ou quinta, das 15h às 16h30.</w:t>
        <w:br/>
        <w:t>5. Concluir as cinco aprovações e respeitar a janela aplicável.</w:t>
        <w:br/>
        <w:t>6. Executar, validar em Produção, anexar evidências e encerrar tarefas e change.</w:t>
      </w:r>
    </w:p>
    <w:p>
      <w:pPr>
        <w:pStyle w:val="Heading2"/>
      </w:pPr>
      <w:r>
        <w:t>Mudança Emergencial</w:t>
      </w:r>
    </w:p>
    <w:p>
      <w:r>
        <w:t>1. Identificar a necessidade e a urgência e registrar a mudança como Emergencial.</w:t>
        <w:br/>
        <w:t>2. Documentar escopo, impacto, risco, execução, recuperação e evidências disponíveis.</w:t>
        <w:br/>
        <w:t>3. Realizar avaliação no eCAB em horário compatível com a necessidade, com o Gestor, coordenadores e executor. Incluir o solicitante impactado quando necessário.</w:t>
        <w:br/>
        <w:t>4. Obter as cinco aprovações e definir data e horário conforme a urgência.</w:t>
        <w:br/>
        <w:t>5. Executar o plano autorizado, validar em Produção, registrar evidências e encerrar conforme o resultado.</w:t>
      </w:r>
    </w:p>
    <w:p>
      <w:r>
        <w:t>Mudanças emergenciais também exigem testes prévios e toda a documentação necessária. Exceções são admitidas quando não houver tempo hábil para realizar os testes ou em situações muito específicas que dependam de terceiros. A exceção deve ser analisada pelo Comitê de Mudanças e aprovada por todos os aprovadores, com registro da justificativa, dos riscos e da decisão na aba Anotações da change.</w:t>
      </w:r>
    </w:p>
    <w:p>
      <w:pPr>
        <w:pStyle w:val="Heading2"/>
      </w:pPr>
      <w:r>
        <w:t>Controle de publicação</w:t>
      </w:r>
    </w:p>
    <w:p>
      <w:r>
        <w:t>Antes da publicação na base de conhecimento, atribuir o código definitivo e registrar a aprovação do artigo conforme a governança interna. Autor e responsável pela manutenção: Matuzalem Kleyton Lopes — Gestor de Mudanças.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Matuzalem Kleyton Lopes | Gestor de Mudanças</w:t>
      <w:br/>
      <w:t xml:space="preserve">Uso interno • Versão 1.3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SSA  |  Governança de TI  |  Gestão de Mudanças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Gestão de Mudanças no Freshservice</dc:title>
  <dc:subject/>
  <dc:creator>Matuzalem Kleyton Lopes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