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учётную запись guest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dir1, выполнить некоторые операции с ним</w:t>
      </w:r>
    </w:p>
    <w:p>
      <w:pPr>
        <w:numPr>
          <w:ilvl w:val="0"/>
          <w:numId w:val="1001"/>
        </w:numPr>
        <w:pStyle w:val="Compact"/>
      </w:pPr>
      <w:r>
        <w:t xml:space="preserve">Заполнить две таблицы -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Window System.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Cоздали учётную запись пользователя guest, создали пароль для этой учётной записи (рис. 1).</w:t>
      </w:r>
    </w:p>
    <w:p>
      <w:pPr>
        <w:pStyle w:val="CaptionedFigure"/>
      </w:pPr>
      <w:bookmarkStart w:id="26" w:name="fig:001"/>
      <w:r>
        <w:drawing>
          <wp:inline>
            <wp:extent cx="4524375" cy="1704975"/>
            <wp:effectExtent b="0" l="0" r="0" t="0"/>
            <wp:docPr descr="Рис. 1: Создание учётной записи пользователя guest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учётной записи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Вошли в систему от имени пользователя guest. (рис. 2).</w:t>
      </w:r>
    </w:p>
    <w:p>
      <w:pPr>
        <w:pStyle w:val="CaptionedFigure"/>
      </w:pPr>
      <w:bookmarkStart w:id="30" w:name="fig:002"/>
      <w:r>
        <w:drawing>
          <wp:inline>
            <wp:extent cx="2809875" cy="2171700"/>
            <wp:effectExtent b="0" l="0" r="0" t="0"/>
            <wp:docPr descr="Рис. 2: Вход в систему от имени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Вход в систему от имени пользователя guest</w:t>
      </w:r>
    </w:p>
    <w:p>
      <w:pPr>
        <w:numPr>
          <w:ilvl w:val="0"/>
          <w:numId w:val="1004"/>
        </w:numPr>
        <w:pStyle w:val="Compact"/>
      </w:pPr>
      <w:r>
        <w:t xml:space="preserve">Определили, в какой директории мы находимся, используя команду pwd, убедились, что находимся в домашней директории (рис. 3).</w:t>
      </w:r>
    </w:p>
    <w:p>
      <w:pPr>
        <w:pStyle w:val="CaptionedFigure"/>
      </w:pPr>
      <w:bookmarkStart w:id="34" w:name="fig:003"/>
      <w:r>
        <w:drawing>
          <wp:inline>
            <wp:extent cx="2457450" cy="1114425"/>
            <wp:effectExtent b="0" l="0" r="0" t="0"/>
            <wp:docPr descr="Рис. 3: Определение текущей директори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Определение текущей директории</w:t>
      </w:r>
    </w:p>
    <w:p>
      <w:pPr>
        <w:numPr>
          <w:ilvl w:val="0"/>
          <w:numId w:val="1005"/>
        </w:numPr>
        <w:pStyle w:val="Compact"/>
      </w:pPr>
      <w:r>
        <w:t xml:space="preserve">Уточнили имя пользователя командой whoami (рис. 4).</w:t>
      </w:r>
    </w:p>
    <w:p>
      <w:pPr>
        <w:pStyle w:val="CaptionedFigure"/>
      </w:pPr>
      <w:bookmarkStart w:id="38" w:name="fig:004"/>
      <w:r>
        <w:drawing>
          <wp:inline>
            <wp:extent cx="2143125" cy="381000"/>
            <wp:effectExtent b="0" l="0" r="0" t="0"/>
            <wp:docPr descr="Рис. 4: Команда whoami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whoami</w:t>
      </w:r>
    </w:p>
    <w:p>
      <w:pPr>
        <w:numPr>
          <w:ilvl w:val="0"/>
          <w:numId w:val="1006"/>
        </w:numPr>
        <w:pStyle w:val="Compact"/>
      </w:pPr>
      <w:r>
        <w:t xml:space="preserve">Уточнили имя пользователя, его группу, а также группы, куда входит пользователь, командой id. Сравнили с выводом команды groups, вывод совпал (рис. 5).</w:t>
      </w:r>
    </w:p>
    <w:p>
      <w:pPr>
        <w:pStyle w:val="CaptionedFigure"/>
      </w:pPr>
      <w:bookmarkStart w:id="42" w:name="fig:005"/>
      <w:r>
        <w:drawing>
          <wp:inline>
            <wp:extent cx="5334000" cy="738831"/>
            <wp:effectExtent b="0" l="0" r="0" t="0"/>
            <wp:docPr descr="Рис. 5: Команды groups, id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Команды groups, id</w:t>
      </w:r>
    </w:p>
    <w:p>
      <w:pPr>
        <w:numPr>
          <w:ilvl w:val="0"/>
          <w:numId w:val="1007"/>
        </w:numPr>
        <w:pStyle w:val="Compact"/>
      </w:pPr>
      <w:r>
        <w:t xml:space="preserve">Просмотрели файл /etc/passwd командой cat /etc/passwd, нашли в нем свою учетную запись, всё совпало с предыдущими выводами (рис. 6).</w:t>
      </w:r>
    </w:p>
    <w:p>
      <w:pPr>
        <w:pStyle w:val="CaptionedFigure"/>
      </w:pPr>
      <w:bookmarkStart w:id="46" w:name="fig:006"/>
      <w:r>
        <w:drawing>
          <wp:inline>
            <wp:extent cx="4019550" cy="704850"/>
            <wp:effectExtent b="0" l="0" r="0" t="0"/>
            <wp:docPr descr="Рис. 6: Команда cat /etc/passwd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cat /etc/passwd</w:t>
      </w:r>
    </w:p>
    <w:p>
      <w:pPr>
        <w:numPr>
          <w:ilvl w:val="0"/>
          <w:numId w:val="1008"/>
        </w:numPr>
        <w:pStyle w:val="Compact"/>
      </w:pPr>
      <w:r>
        <w:t xml:space="preserve">Определили существующие в системе директории с помощью команды ls -l /home/. Проверили, какие расширенные атрибуты установлены на поддиректориях, находящихся в директории /home, командой: lsattr /home (рис. 7).</w:t>
      </w:r>
    </w:p>
    <w:p>
      <w:pPr>
        <w:pStyle w:val="CaptionedFigure"/>
      </w:pPr>
      <w:bookmarkStart w:id="50" w:name="fig:007"/>
      <w:r>
        <w:drawing>
          <wp:inline>
            <wp:extent cx="4514850" cy="885825"/>
            <wp:effectExtent b="0" l="0" r="0" t="0"/>
            <wp:docPr descr="Рис. 7: Определение существующих директорий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Определение существующих директорий</w:t>
      </w:r>
    </w:p>
    <w:p>
      <w:pPr>
        <w:numPr>
          <w:ilvl w:val="0"/>
          <w:numId w:val="1009"/>
        </w:numPr>
        <w:pStyle w:val="Compact"/>
      </w:pPr>
      <w:r>
        <w:t xml:space="preserve">Создали в домашней директории поддиректорию dir1. Определили командами ls -l и lsattr, какие права доступа и расширенные атрибуты были выставлены на директорию dir1. Сняли с директории dir1 все атрибуты командой chmod 000 dir1 и проверили её правильность с помощью команды ls -s (рис. 8).</w:t>
      </w:r>
    </w:p>
    <w:p>
      <w:pPr>
        <w:pStyle w:val="CaptionedFigure"/>
      </w:pPr>
      <w:bookmarkStart w:id="54" w:name="fig:008"/>
      <w:r>
        <w:drawing>
          <wp:inline>
            <wp:extent cx="5172075" cy="3438525"/>
            <wp:effectExtent b="0" l="0" r="0" t="0"/>
            <wp:docPr descr="Рис. 8: Права директории dir1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Права директории dir1</w:t>
      </w:r>
    </w:p>
    <w:p>
      <w:pPr>
        <w:numPr>
          <w:ilvl w:val="0"/>
          <w:numId w:val="1010"/>
        </w:numPr>
        <w:pStyle w:val="Compact"/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нам было отказано в доступе (рис. 9).</w:t>
      </w:r>
    </w:p>
    <w:p>
      <w:pPr>
        <w:pStyle w:val="CaptionedFigure"/>
      </w:pPr>
      <w:bookmarkStart w:id="58" w:name="fig:009"/>
      <w:r>
        <w:drawing>
          <wp:inline>
            <wp:extent cx="5029200" cy="847725"/>
            <wp:effectExtent b="0" l="0" r="0" t="0"/>
            <wp:docPr descr="Рис. 9: Права директории dir1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Права директории dir1</w:t>
      </w:r>
    </w:p>
    <w:p>
      <w:pPr>
        <w:numPr>
          <w:ilvl w:val="0"/>
          <w:numId w:val="1011"/>
        </w:numPr>
        <w:pStyle w:val="Compact"/>
      </w:pPr>
      <w:r>
        <w:t xml:space="preserve">Начали заполнение таблицы «Установленные права и разрешённые действия» (рис. 10).</w:t>
      </w:r>
    </w:p>
    <w:p>
      <w:pPr>
        <w:pStyle w:val="CaptionedFigure"/>
      </w:pPr>
      <w:bookmarkStart w:id="62" w:name="fig:010"/>
      <w:r>
        <w:drawing>
          <wp:inline>
            <wp:extent cx="4772025" cy="2143125"/>
            <wp:effectExtent b="0" l="0" r="0" t="0"/>
            <wp:docPr descr="Рис. 10: Заполнение таблицы 2.1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Заполнение таблицы 2.1</w:t>
      </w:r>
    </w:p>
    <w:p>
      <w:pPr>
        <w:numPr>
          <w:ilvl w:val="0"/>
          <w:numId w:val="1012"/>
        </w:numPr>
        <w:pStyle w:val="Compact"/>
      </w:pPr>
      <w:r>
        <w:t xml:space="preserve">Заполненная таблица «Установленные права и разрешённые действия»</w:t>
      </w:r>
    </w:p>
    <w:p>
      <w:pPr>
        <w:pStyle w:val="CaptionedFigure"/>
      </w:pPr>
      <w:bookmarkStart w:id="66" w:name="fig:011"/>
      <w:r>
        <w:drawing>
          <wp:inline>
            <wp:extent cx="5334000" cy="4980622"/>
            <wp:effectExtent b="0" l="0" r="0" t="0"/>
            <wp:docPr descr="Рис. 11: Таблица «Установленные права и разрешённые действия»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Таблица «Установленные права и разрешённые действия»</w:t>
      </w:r>
    </w:p>
    <w:p>
      <w:pPr>
        <w:pStyle w:val="CaptionedFigure"/>
      </w:pPr>
      <w:bookmarkStart w:id="70" w:name="fig:012"/>
      <w:r>
        <w:drawing>
          <wp:inline>
            <wp:extent cx="5334000" cy="3947159"/>
            <wp:effectExtent b="0" l="0" r="0" t="0"/>
            <wp:docPr descr="Рис. 12: Таблица «Установленные права и разрешённые действия» (продолжение)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Таблица «Установленные права и разрешённые действия» (продолжение)</w:t>
      </w:r>
    </w:p>
    <w:p>
      <w:pPr>
        <w:numPr>
          <w:ilvl w:val="0"/>
          <w:numId w:val="1013"/>
        </w:numPr>
        <w:pStyle w:val="Compact"/>
      </w:pPr>
      <w:r>
        <w:t xml:space="preserve">Начали 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4" w:name="fig:013"/>
      <w:r>
        <w:drawing>
          <wp:inline>
            <wp:extent cx="5334000" cy="3164090"/>
            <wp:effectExtent b="0" l="0" r="0" t="0"/>
            <wp:docPr descr="Рис. 13: Заполнение таблицы 2.2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Заполнение таблицы 2.2</w:t>
      </w:r>
    </w:p>
    <w:p>
      <w:pPr>
        <w:numPr>
          <w:ilvl w:val="0"/>
          <w:numId w:val="1014"/>
        </w:numPr>
        <w:pStyle w:val="Compact"/>
      </w:pPr>
      <w:r>
        <w:t xml:space="preserve">Заполненная 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78" w:name="fig:014"/>
      <w:r>
        <w:drawing>
          <wp:inline>
            <wp:extent cx="4448175" cy="2162175"/>
            <wp:effectExtent b="0" l="0" r="0" t="0"/>
            <wp:docPr descr="Рис. 14: Таблица “Минимальные права для совершения операций”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атрибутами файлов, закрепила теоретических основ дискреционного разграничения доступа в современных системах с открытым кодом на базе ОС Linux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Алиева Милена Арифовна</dc:creator>
  <dc:language>ru-RU</dc:language>
  <cp:keywords/>
  <dcterms:created xsi:type="dcterms:W3CDTF">2024-03-02T12:18:18Z</dcterms:created>
  <dcterms:modified xsi:type="dcterms:W3CDTF">2024-03-02T12:18:18Z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