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своём рабочем каталоге создаём директорию mip, в которой будут выполняться лабораторные работы. Внутри mip создаём директорию lab-ns, а в ней файл</w:t>
      </w:r>
      <w:r>
        <w:t xml:space="preserve"> </w:t>
      </w:r>
      <w:r>
        <w:t xml:space="preserve">shablon.tcl. (рис. 1).</w:t>
      </w:r>
    </w:p>
    <w:p>
      <w:pPr>
        <w:pStyle w:val="CaptionedFigure"/>
      </w:pPr>
      <w:bookmarkStart w:id="25" w:name="fig:001"/>
      <w:r>
        <w:drawing>
          <wp:inline>
            <wp:extent cx="5334000" cy="2109968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3"/>
        </w:numPr>
        <w:pStyle w:val="Compact"/>
      </w:pPr>
      <w:r>
        <w:t xml:space="preserve">Открываем на редактирование файл shablon.tcl. Сначала создадим объект типа Simulator, создадим переменную nf и укажем, что требуется открыть на запись nam-файл для регистрации выходных результатов моделирования, вторая строка даёт команду записывать все данные о динамике модели 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 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 (рис. 2).</w:t>
      </w:r>
    </w:p>
    <w:p>
      <w:pPr>
        <w:pStyle w:val="CaptionedFigure"/>
      </w:pPr>
      <w:bookmarkStart w:id="29" w:name="fig:002"/>
      <w:r>
        <w:drawing>
          <wp:inline>
            <wp:extent cx="5334000" cy="3256966"/>
            <wp:effectExtent b="0" l="0" r="0" t="0"/>
            <wp:docPr descr="Рис. 2: Редактирование shablon.tc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shablon.tcl</w:t>
      </w:r>
    </w:p>
    <w:p>
      <w:pPr>
        <w:numPr>
          <w:ilvl w:val="0"/>
          <w:numId w:val="1004"/>
        </w:numPr>
        <w:pStyle w:val="Compact"/>
      </w:pPr>
      <w:r>
        <w:t xml:space="preserve">Сохранив изменения в отредактированном файле shablon.tcl и закрыв его, запустим симулятор командой ns shablon.tcl. Увидим пустую область моделирования, поскольку ещё не определены никакие объекты и действия (рис. 3).</w:t>
      </w:r>
    </w:p>
    <w:p>
      <w:pPr>
        <w:pStyle w:val="CaptionedFigure"/>
      </w:pPr>
      <w:bookmarkStart w:id="33" w:name="fig:003"/>
      <w:r>
        <w:drawing>
          <wp:inline>
            <wp:extent cx="5334000" cy="4947478"/>
            <wp:effectExtent b="0" l="0" r="0" t="0"/>
            <wp:docPr descr="Рис. 3: Пустая область моделирова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Пустая область моделирования</w:t>
      </w:r>
    </w:p>
    <w:p>
      <w:pPr>
        <w:numPr>
          <w:ilvl w:val="0"/>
          <w:numId w:val="1005"/>
        </w:numPr>
        <w:pStyle w:val="Compact"/>
      </w:pPr>
      <w:r>
        <w:t xml:space="preserve">Выполним второй пример, который посвящён описанию топологии сети, состоящей из двух узлов и одного соединения. Нам 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 (рис. 4).</w:t>
      </w:r>
    </w:p>
    <w:p>
      <w:pPr>
        <w:pStyle w:val="CaptionedFigure"/>
      </w:pPr>
      <w:bookmarkStart w:id="37" w:name="fig:004"/>
      <w:r>
        <w:drawing>
          <wp:inline>
            <wp:extent cx="5334000" cy="5766486"/>
            <wp:effectExtent b="0" l="0" r="0" t="0"/>
            <wp:docPr descr="Рис. 4: Отредактированный файл для второго приме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Отредактированный файл для второго примера</w:t>
      </w:r>
    </w:p>
    <w:p>
      <w:pPr>
        <w:numPr>
          <w:ilvl w:val="0"/>
          <w:numId w:val="1006"/>
        </w:numPr>
        <w:pStyle w:val="Compac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5).</w:t>
      </w:r>
    </w:p>
    <w:p>
      <w:pPr>
        <w:pStyle w:val="CaptionedFigure"/>
      </w:pPr>
      <w:bookmarkStart w:id="41" w:name="fig:005"/>
      <w:r>
        <w:drawing>
          <wp:inline>
            <wp:extent cx="5334000" cy="5193982"/>
            <wp:effectExtent b="0" l="0" r="0" t="0"/>
            <wp:docPr descr="Рис. 5: Второй пример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Второй пример</w:t>
      </w:r>
    </w:p>
    <w:p>
      <w:pPr>
        <w:numPr>
          <w:ilvl w:val="0"/>
          <w:numId w:val="1007"/>
        </w:numPr>
        <w:pStyle w:val="Compact"/>
      </w:pPr>
      <w:r>
        <w:t xml:space="preserve">Выполним третий пример.</w:t>
      </w:r>
      <w:r>
        <w:t xml:space="preserve"> </w:t>
      </w:r>
      <w:r>
        <w:t xml:space="preserve">Описание моделируемой сети:</w:t>
      </w:r>
    </w:p>
    <w:p>
      <w:pPr>
        <w:numPr>
          <w:ilvl w:val="0"/>
          <w:numId w:val="1008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8"/>
        </w:numPr>
        <w:pStyle w:val="Compact"/>
      </w:pPr>
      <w:r>
        <w:t xml:space="preserve">между узлами n0 и n2, n1 и n2 установлено дуплексное соединение с пропускной способностью 2 Мбит/с и задержкой 10 мс;</w:t>
      </w:r>
    </w:p>
    <w:p>
      <w:pPr>
        <w:numPr>
          <w:ilvl w:val="0"/>
          <w:numId w:val="1008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8"/>
        </w:numPr>
        <w:pStyle w:val="Compact"/>
      </w:pPr>
      <w:r>
        <w:t xml:space="preserve">каждый узел использует очередь с дисциплиной DropTail для накопления пакетов, максимальный размер которой составляет 10;</w:t>
      </w:r>
    </w:p>
    <w:p>
      <w:pPr>
        <w:numPr>
          <w:ilvl w:val="0"/>
          <w:numId w:val="1008"/>
        </w:numPr>
        <w:pStyle w:val="Compact"/>
      </w:pPr>
      <w:r>
        <w:t xml:space="preserve">TCP-источник на узле n0 подключается к TCP-приёмнику на узле n3 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8"/>
        </w:numPr>
        <w:pStyle w:val="Compact"/>
      </w:pPr>
      <w:r>
        <w:t xml:space="preserve">UDP-агент, который подсоединён к узлу n1, подключён к null-агенту на узле n3 (null-агент просто откидывает пакеты);</w:t>
      </w:r>
    </w:p>
    <w:p>
      <w:pPr>
        <w:numPr>
          <w:ilvl w:val="0"/>
          <w:numId w:val="1008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8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8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Откроем example2.tcl на редактирование, создадим 4 узла и 3 дуплексных соединения с указанием направления, создадим агент UDP с прикреплённым к нему источником CBR и агент TCP с прикреплённым к нему приложением FTP, создадим агенты-получатели, соединим агенты udp0 и tcp1 и их получателей, зададим описание цвета каждого потока, выполним отслеживание событий в очереди и наложение ограничения на размер очереди, добавим at-события (рис. 6).</w:t>
      </w:r>
    </w:p>
    <w:p>
      <w:pPr>
        <w:pStyle w:val="CaptionedFigure"/>
      </w:pPr>
      <w:bookmarkStart w:id="45" w:name="fig:006"/>
      <w:r>
        <w:drawing>
          <wp:inline>
            <wp:extent cx="5334000" cy="5926666"/>
            <wp:effectExtent b="0" l="0" r="0" t="0"/>
            <wp:docPr descr="Рис. 6: Третий пример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Третий пример</w:t>
      </w:r>
    </w:p>
    <w:p>
      <w:pPr>
        <w:numPr>
          <w:ilvl w:val="0"/>
          <w:numId w:val="1009"/>
        </w:numPr>
        <w:pStyle w:val="Compac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7).</w:t>
      </w:r>
    </w:p>
    <w:p>
      <w:pPr>
        <w:pStyle w:val="CaptionedFigure"/>
      </w:pPr>
      <w:bookmarkStart w:id="49" w:name="fig:007"/>
      <w:r>
        <w:drawing>
          <wp:inline>
            <wp:extent cx="5334000" cy="5224209"/>
            <wp:effectExtent b="0" l="0" r="0" t="0"/>
            <wp:docPr descr="Рис. 7: Результат третьего пример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Результат третьего примера</w:t>
      </w:r>
    </w:p>
    <w:p>
      <w:pPr>
        <w:numPr>
          <w:ilvl w:val="0"/>
          <w:numId w:val="1010"/>
        </w:numPr>
        <w:pStyle w:val="Compact"/>
      </w:pPr>
      <w: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11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11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11"/>
        </w:numPr>
        <w:pStyle w:val="Compact"/>
      </w:pPr>
      <w:r>
        <w:t xml:space="preserve">с 1 по 2 секунду модельного времени происходит разрыв соединения между узлами n(1) и n(2);</w:t>
      </w:r>
    </w:p>
    <w:p>
      <w:pPr>
        <w:numPr>
          <w:ilvl w:val="0"/>
          <w:numId w:val="1011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Откроем example3.tcl на редактирование. Опишем топологию моделируемой сети, соединим узлы так, чтобы создать круговую топологию. Каждый узел, за исключением последнего, соединяется со следующим, последний соединяется с первым, для этого в цикле использован оператор %, означающий остаток от деления нацело. Зададим передачу данных от узла n(0) к узлу n(3). Данные передаются по кратчайшему маршруту от узла n(0) к узлу n(3), через узлы n(1) и n(2) (рис. 8).</w:t>
      </w:r>
    </w:p>
    <w:p>
      <w:pPr>
        <w:pStyle w:val="CaptionedFigure"/>
      </w:pPr>
      <w:bookmarkStart w:id="53" w:name="fig:008"/>
      <w:r>
        <w:drawing>
          <wp:inline>
            <wp:extent cx="5334000" cy="3600931"/>
            <wp:effectExtent b="0" l="0" r="0" t="0"/>
            <wp:docPr descr="Рис. 8: Четвёртый пример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Четвёртый пример</w:t>
      </w:r>
    </w:p>
    <w:p>
      <w:pPr>
        <w:numPr>
          <w:ilvl w:val="0"/>
          <w:numId w:val="1012"/>
        </w:numPr>
        <w:pStyle w:val="Compact"/>
      </w:pPr>
      <w:r>
        <w:t xml:space="preserve">Сохранив изменения в отредактированном файле и запустив симулятор, получим анимированный результат моделирования</w:t>
      </w:r>
    </w:p>
    <w:p>
      <w:pPr>
        <w:pStyle w:val="CaptionedFigure"/>
      </w:pPr>
      <w:bookmarkStart w:id="57" w:name="fig:009"/>
      <w:r>
        <w:drawing>
          <wp:inline>
            <wp:extent cx="5334000" cy="5809138"/>
            <wp:effectExtent b="0" l="0" r="0" t="0"/>
            <wp:docPr descr="Рис. 9: Результат четвёртого пример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Результат четвёртого примера</w:t>
      </w:r>
    </w:p>
    <w:p>
      <w:pPr>
        <w:pStyle w:val="CaptionedFigure"/>
      </w:pPr>
      <w:bookmarkStart w:id="61" w:name="fig:010"/>
      <w:r>
        <w:drawing>
          <wp:inline>
            <wp:extent cx="5334000" cy="5788315"/>
            <wp:effectExtent b="0" l="0" r="0" t="0"/>
            <wp:docPr descr="Рис. 10: Результат четвёртого пример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четвёртого примера</w:t>
      </w:r>
    </w:p>
    <w:p>
      <w:pPr>
        <w:numPr>
          <w:ilvl w:val="0"/>
          <w:numId w:val="1013"/>
        </w:numPr>
        <w:pStyle w:val="Compact"/>
      </w:pPr>
      <w:r>
        <w:t xml:space="preserve">Добавив в начало скрипта $ns rtproto DV и увидим, что сразу после запуска в сети отправляется небольшое количество маленьких пакетов, используемых для обмена информацией, необходимой для маршрутизации между узлами, а когда соединение будет разорвано, информация о топологии будет обновлена, пакеты будут отсылаться по новому маршруту через узлы n(6), n(5) и n(4).</w:t>
      </w:r>
    </w:p>
    <w:p>
      <w:pPr>
        <w:pStyle w:val="CaptionedFigure"/>
      </w:pPr>
      <w:bookmarkStart w:id="65" w:name="fig:011"/>
      <w:r>
        <w:drawing>
          <wp:inline>
            <wp:extent cx="5334000" cy="2192466"/>
            <wp:effectExtent b="0" l="0" r="0" t="0"/>
            <wp:docPr descr="Рис. 11: Добавление строки $ns rtproto DV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Добавление строки $ns rtproto DV</w:t>
      </w:r>
    </w:p>
    <w:p>
      <w:pPr>
        <w:pStyle w:val="CaptionedFigure"/>
      </w:pPr>
      <w:bookmarkStart w:id="69" w:name="fig:012"/>
      <w:r>
        <w:drawing>
          <wp:inline>
            <wp:extent cx="5334000" cy="5706572"/>
            <wp:effectExtent b="0" l="0" r="0" t="0"/>
            <wp:docPr descr="Рис. 12: Результат четвёртого примера после изменений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Результат четвёртого примера после изменений</w:t>
      </w:r>
    </w:p>
    <w:p>
      <w:pPr>
        <w:numPr>
          <w:ilvl w:val="0"/>
          <w:numId w:val="1014"/>
        </w:numPr>
        <w:pStyle w:val="Compact"/>
      </w:pPr>
      <w:r>
        <w:t xml:space="preserve">Выполним упражнение, для этого внесем следующие изменения в реализацию примера с кольцевой топологией сети:</w:t>
      </w:r>
    </w:p>
    <w:p>
      <w:pPr>
        <w:numPr>
          <w:ilvl w:val="0"/>
          <w:numId w:val="1015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15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</w:p>
    <w:p>
      <w:pPr>
        <w:numPr>
          <w:ilvl w:val="0"/>
          <w:numId w:val="1015"/>
        </w:numPr>
        <w:pStyle w:val="Compact"/>
      </w:pPr>
      <w:r>
        <w:t xml:space="preserve">с 1 по 2 секунду модельного времени происходит разрыв соединения между узлами n(0) и n(1);</w:t>
      </w:r>
    </w:p>
    <w:p>
      <w:pPr>
        <w:numPr>
          <w:ilvl w:val="0"/>
          <w:numId w:val="1015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 (рис. 13).</w:t>
      </w:r>
    </w:p>
    <w:p>
      <w:pPr>
        <w:pStyle w:val="CaptionedFigure"/>
      </w:pPr>
      <w:bookmarkStart w:id="73" w:name="fig:013"/>
      <w:r>
        <w:drawing>
          <wp:inline>
            <wp:extent cx="5334000" cy="4083843"/>
            <wp:effectExtent b="0" l="0" r="0" t="0"/>
            <wp:docPr descr="Рис. 13: Упражнение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Упражнение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Алиева Милена Арифовна</dc:creator>
  <dc:language>ru-RU</dc:language>
  <cp:keywords/>
  <dcterms:created xsi:type="dcterms:W3CDTF">2025-02-15T15:00:27Z</dcterms:created>
  <dcterms:modified xsi:type="dcterms:W3CDTF">2025-02-15T15:00:27Z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Простые модели компьютерной сети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