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 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 цвет траекторий, подписи к осям, подпись траектории в легенде).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3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3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3"/>
        </w:numPr>
        <w:pStyle w:val="Compact"/>
      </w:pPr>
      <w:r>
        <w:t xml:space="preserve">TCP-источники на узлах s1 и s2 подключаются к TCP-приёмнику на узле s3;</w:t>
      </w:r>
      <w:r>
        <w:t xml:space="preserve"> </w:t>
      </w:r>
      <w:r>
        <w:t xml:space="preserve">генераторы трафика FTP прикреплены к TCP-агентам.</w:t>
      </w:r>
      <w:r>
        <w:t xml:space="preserve"> </w:t>
      </w: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очереди.. (рис. 1).</w:t>
      </w:r>
    </w:p>
    <w:p>
      <w:pPr>
        <w:pStyle w:val="CaptionedFigure"/>
      </w:pPr>
      <w:bookmarkStart w:id="25" w:name="fig:001"/>
      <w:r>
        <w:drawing>
          <wp:inline>
            <wp:extent cx="5334000" cy="4239126"/>
            <wp:effectExtent b="0" l="0" r="0" t="0"/>
            <wp:docPr descr="Рис. 1: Редакт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После запуска кода получаем график изменения TCP-окна (рис. 2), а также график изменения длины очереди и средней длины очереди (рис. 3).</w:t>
      </w:r>
    </w:p>
    <w:p>
      <w:pPr>
        <w:pStyle w:val="CaptionedFigure"/>
      </w:pPr>
      <w:bookmarkStart w:id="29" w:name="fig:002"/>
      <w:r>
        <w:drawing>
          <wp:inline>
            <wp:extent cx="5334000" cy="4933950"/>
            <wp:effectExtent b="0" l="0" r="0" t="0"/>
            <wp:docPr descr="Рис. 2: График изменения TCP-окн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изменения TCP-окна</w:t>
      </w:r>
    </w:p>
    <w:p>
      <w:pPr>
        <w:pStyle w:val="CaptionedFigure"/>
      </w:pPr>
      <w:bookmarkStart w:id="33" w:name="fig:003"/>
      <w:r>
        <w:drawing>
          <wp:inline>
            <wp:extent cx="5334000" cy="4773930"/>
            <wp:effectExtent b="0" l="0" r="0" t="0"/>
            <wp:docPr descr="Рис. 3: График изменения длины очереди и средней длины очеред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изменения длины очереди и средней длины очереди</w:t>
      </w:r>
    </w:p>
    <w:p>
      <w:pPr>
        <w:numPr>
          <w:ilvl w:val="0"/>
          <w:numId w:val="1005"/>
        </w:numPr>
        <w:pStyle w:val="Compact"/>
      </w:pPr>
      <w:r>
        <w:t xml:space="preserve">Теперь изменим тип Reno на NewReno (рис. 4).</w:t>
      </w:r>
    </w:p>
    <w:p>
      <w:pPr>
        <w:pStyle w:val="CaptionedFigure"/>
      </w:pPr>
      <w:bookmarkStart w:id="37" w:name="fig:004"/>
      <w:r>
        <w:drawing>
          <wp:inline>
            <wp:extent cx="5334000" cy="992964"/>
            <wp:effectExtent b="0" l="0" r="0" t="0"/>
            <wp:docPr descr="Рис. 4: Меняем тип Reno на NewReno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Меняем тип Reno на NewReno</w:t>
      </w:r>
    </w:p>
    <w:p>
      <w:pPr>
        <w:numPr>
          <w:ilvl w:val="0"/>
          <w:numId w:val="1006"/>
        </w:numPr>
        <w:pStyle w:val="Compact"/>
      </w:pPr>
      <w:r>
        <w:t xml:space="preserve">После запуска кода получаем график изменения TCP-окна (рис. 5), а также график изменения длины очереди и средней длины очереди (рис. 6). Видим, что значение средней длины очереди находится в пределах от 2 до 4, а максимальное значение длины равно 14, как и на предыдущем графике. В обоих алгоритмах размер окна увеличивается до тех пор, пока не произойдёт потеря сегмента.</w:t>
      </w:r>
    </w:p>
    <w:p>
      <w:pPr>
        <w:pStyle w:val="CaptionedFigure"/>
      </w:pPr>
      <w:bookmarkStart w:id="41" w:name="fig:005"/>
      <w:r>
        <w:drawing>
          <wp:inline>
            <wp:extent cx="5334000" cy="5543964"/>
            <wp:effectExtent b="0" l="0" r="0" t="0"/>
            <wp:docPr descr="Рис. 5: График изменения TCP-окн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изменения TCP-окна</w:t>
      </w:r>
    </w:p>
    <w:p>
      <w:pPr>
        <w:pStyle w:val="CaptionedFigure"/>
      </w:pPr>
      <w:bookmarkStart w:id="45" w:name="fig:006"/>
      <w:r>
        <w:drawing>
          <wp:inline>
            <wp:extent cx="5334000" cy="5570757"/>
            <wp:effectExtent b="0" l="0" r="0" t="0"/>
            <wp:docPr descr="Рис. 6: График изменения длины очереди и средней длины очеред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изменения длины очереди и средней длины очереди</w:t>
      </w:r>
    </w:p>
    <w:p>
      <w:pPr>
        <w:numPr>
          <w:ilvl w:val="0"/>
          <w:numId w:val="1007"/>
        </w:numPr>
        <w:pStyle w:val="Compact"/>
      </w:pPr>
      <w:r>
        <w:t xml:space="preserve">Изменим тип Reno на Vegas (рис. 7).</w:t>
      </w:r>
    </w:p>
    <w:p>
      <w:pPr>
        <w:pStyle w:val="CaptionedFigure"/>
      </w:pPr>
      <w:bookmarkStart w:id="49" w:name="fig:007"/>
      <w:r>
        <w:drawing>
          <wp:inline>
            <wp:extent cx="5334000" cy="1019045"/>
            <wp:effectExtent b="0" l="0" r="0" t="0"/>
            <wp:docPr descr="Рис. 7: Меняем тип Reno на Vegas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Меняем тип Reno на Vegas</w:t>
      </w:r>
    </w:p>
    <w:p>
      <w:pPr>
        <w:numPr>
          <w:ilvl w:val="0"/>
          <w:numId w:val="1008"/>
        </w:numPr>
        <w:pStyle w:val="Compact"/>
      </w:pPr>
      <w:r>
        <w:t xml:space="preserve">После запуска кода получаем график изменения TCP-окна (рис. 8), а также график изменения длины очереди и средней длины очереди (рис. 9). Видим, что средняя длина очереди опять находится также в диапазоне от 2 до 4, а максимальная длина достигает значения 14. Довольно сильные отличия можно заметить по графикам динамики размера окна, так как при Vegas максимальный размер окна составляет 20, а не 34, как в предыдущих графиках. Это происходит по той причине, что TCP Vegas обнаруживает перегрузку в сети до того, как случайно теряется пакет, и мгновенно уменьшается размер окна, получается, что TCP Vegas обрабатывает перегрузку без каких-либо потерь пакета.</w:t>
      </w:r>
    </w:p>
    <w:p>
      <w:pPr>
        <w:pStyle w:val="CaptionedFigure"/>
      </w:pPr>
      <w:bookmarkStart w:id="53" w:name="fig:008"/>
      <w:r>
        <w:drawing>
          <wp:inline>
            <wp:extent cx="5334000" cy="4740592"/>
            <wp:effectExtent b="0" l="0" r="0" t="0"/>
            <wp:docPr descr="Рис. 8: График изменения TCP-окн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График изменения TCP-окна</w:t>
      </w:r>
    </w:p>
    <w:p>
      <w:pPr>
        <w:pStyle w:val="CaptionedFigure"/>
      </w:pPr>
      <w:bookmarkStart w:id="57" w:name="fig:009"/>
      <w:r>
        <w:drawing>
          <wp:inline>
            <wp:extent cx="5334000" cy="4720590"/>
            <wp:effectExtent b="0" l="0" r="0" t="0"/>
            <wp:docPr descr="Рис. 9: График изменения длины очереди и средней длины очеред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График изменения длины очереди и средней длины очереди</w:t>
      </w:r>
    </w:p>
    <w:p>
      <w:pPr>
        <w:numPr>
          <w:ilvl w:val="0"/>
          <w:numId w:val="1009"/>
        </w:numPr>
        <w:pStyle w:val="Compact"/>
      </w:pPr>
      <w:r>
        <w:t xml:space="preserve">Внесем изменения при отображении окон с графиками, изменим цвет фона, цвет траекторий, подписи к осям и подпись траектории в легенде.</w:t>
      </w:r>
    </w:p>
    <w:p>
      <w:pPr>
        <w:pStyle w:val="CaptionedFigure"/>
      </w:pPr>
      <w:bookmarkStart w:id="61" w:name="fig:010"/>
      <w:r>
        <w:drawing>
          <wp:inline>
            <wp:extent cx="5334000" cy="1699968"/>
            <wp:effectExtent b="0" l="0" r="0" t="0"/>
            <wp:docPr descr="Рис. 10: Изменение цвет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Изменение цвета</w:t>
      </w:r>
    </w:p>
    <w:p>
      <w:pPr>
        <w:pStyle w:val="CaptionedFigure"/>
      </w:pPr>
      <w:bookmarkStart w:id="65" w:name="fig:011"/>
      <w:r>
        <w:drawing>
          <wp:inline>
            <wp:extent cx="5334000" cy="978251"/>
            <wp:effectExtent b="0" l="0" r="0" t="0"/>
            <wp:docPr descr="Рис. 11: Изменение цвет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Изменение цвета</w:t>
      </w:r>
    </w:p>
    <w:p>
      <w:pPr>
        <w:numPr>
          <w:ilvl w:val="0"/>
          <w:numId w:val="1010"/>
        </w:numPr>
        <w:pStyle w:val="Compact"/>
      </w:pPr>
      <w:r>
        <w:t xml:space="preserve">После запуска кода получаем график изменения TCP-окна (рис. 12), а также график изменения длины очереди и средней длины очереди (рис. 13).</w:t>
      </w:r>
    </w:p>
    <w:p>
      <w:pPr>
        <w:pStyle w:val="CaptionedFigure"/>
      </w:pPr>
      <w:bookmarkStart w:id="69" w:name="fig:012"/>
      <w:r>
        <w:drawing>
          <wp:inline>
            <wp:extent cx="5334000" cy="5060632"/>
            <wp:effectExtent b="0" l="0" r="0" t="0"/>
            <wp:docPr descr="Рис. 12: График изменения TCP-окн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График изменения TCP-окна</w:t>
      </w:r>
    </w:p>
    <w:p>
      <w:pPr>
        <w:pStyle w:val="CaptionedFigure"/>
      </w:pPr>
      <w:bookmarkStart w:id="73" w:name="fig:013"/>
      <w:r>
        <w:drawing>
          <wp:inline>
            <wp:extent cx="5334000" cy="5094538"/>
            <wp:effectExtent b="0" l="0" r="0" t="0"/>
            <wp:docPr descr="Рис. 13: График изменения длины очереди и средней длины очереди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График изменения длины очереди и средней длины очереди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Алиева Милена Арифовна</dc:creator>
  <dc:language>ru-RU</dc:language>
  <cp:keywords/>
  <dcterms:created xsi:type="dcterms:W3CDTF">2025-02-21T22:09:32Z</dcterms:created>
  <dcterms:modified xsi:type="dcterms:W3CDTF">2025-02-21T22:09:32Z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Исследование протокола TCP и алгоритма управления очередью RED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