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простой протокол передачи данных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простой протокол передачи данных в CPN Tools.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</w:t>
      </w:r>
      <w:r>
        <w:t xml:space="preserve"> </w:t>
      </w:r>
      <w:r>
        <w:t xml:space="preserve">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модели: (рис. 1)</w:t>
      </w:r>
    </w:p>
    <w:p>
      <w:pPr>
        <w:pStyle w:val="CaptionedFigure"/>
      </w:pPr>
      <w:bookmarkStart w:id="25" w:name="fig:001"/>
      <w:r>
        <w:drawing>
          <wp:inline>
            <wp:extent cx="5334000" cy="1853289"/>
            <wp:effectExtent b="0" l="0" r="0" t="0"/>
            <wp:docPr descr="Рис. 1: Декларации модел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Декларации модели</w:t>
      </w:r>
    </w:p>
    <w:p>
      <w:pPr>
        <w:numPr>
          <w:ilvl w:val="0"/>
          <w:numId w:val="1002"/>
        </w:numPr>
        <w:pStyle w:val="Compact"/>
      </w:pPr>
      <w:r>
        <w:t xml:space="preserve">Построим начальный граф (рис. 2)</w:t>
      </w:r>
    </w:p>
    <w:p>
      <w:pPr>
        <w:pStyle w:val="CaptionedFigure"/>
      </w:pPr>
      <w:bookmarkStart w:id="29" w:name="fig:002"/>
      <w:r>
        <w:drawing>
          <wp:inline>
            <wp:extent cx="5334000" cy="2686723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Состояние Send имеет тип INTxDATA и следующую начальную маркировку (в</w:t>
      </w:r>
      <w:r>
        <w:t xml:space="preserve"> </w:t>
      </w:r>
      <w:r>
        <w:t xml:space="preserve">соответствии с передаваемой фразой):</w:t>
      </w:r>
      <w:r>
        <w:t xml:space="preserve"> </w:t>
      </w:r>
      <w:r>
        <w:t xml:space="preserve">1</w:t>
      </w:r>
      <w:r>
        <w:rPr>
          <w:rStyle w:val="VerbatimChar"/>
        </w:rPr>
        <w:t xml:space="preserve">(1,"Modellin")++ 1</w:t>
      </w:r>
      <w:r>
        <w:t xml:space="preserve">(2,</w:t>
      </w:r>
      <w:r>
        <w:t xml:space="preserve">“</w:t>
      </w:r>
      <w:r>
        <w:t xml:space="preserve">g and An</w:t>
      </w:r>
      <w:r>
        <w:t xml:space="preserve">”</w:t>
      </w:r>
      <w:r>
        <w:t xml:space="preserve">)++</w:t>
      </w:r>
      <w:r>
        <w:t xml:space="preserve"> </w:t>
      </w:r>
      <w:r>
        <w:t xml:space="preserve">1</w:t>
      </w:r>
      <w:r>
        <w:rPr>
          <w:rStyle w:val="VerbatimChar"/>
        </w:rPr>
        <w:t xml:space="preserve">(3,"alysis b")++ 1</w:t>
      </w:r>
      <w:r>
        <w:t xml:space="preserve">(4,</w:t>
      </w:r>
      <w:r>
        <w:t xml:space="preserve">“</w:t>
      </w:r>
      <w:r>
        <w:t xml:space="preserve">y Means</w:t>
      </w:r>
      <w:r>
        <w:t xml:space="preserve">”</w:t>
      </w:r>
      <w:r>
        <w:t xml:space="preserve">)++</w:t>
      </w:r>
      <w:r>
        <w:t xml:space="preserve"> </w:t>
      </w:r>
      <w:r>
        <w:t xml:space="preserve">1</w:t>
      </w:r>
      <w:r>
        <w:rPr>
          <w:rStyle w:val="VerbatimChar"/>
        </w:rPr>
        <w:t xml:space="preserve">(5,"of Colou")++ 1</w:t>
      </w:r>
      <w:r>
        <w:t xml:space="preserve">(6,</w:t>
      </w:r>
      <w:r>
        <w:t xml:space="preserve">“</w:t>
      </w:r>
      <w:r>
        <w:t xml:space="preserve">red Petr</w:t>
      </w:r>
      <w:r>
        <w:t xml:space="preserve">”</w:t>
      </w:r>
      <w:r>
        <w:t xml:space="preserve">)++</w:t>
      </w:r>
      <w:r>
        <w:t xml:space="preserve"> </w:t>
      </w:r>
      <w:r>
        <w:t xml:space="preserve">1</w:t>
      </w:r>
      <w:r>
        <w:rPr>
          <w:rStyle w:val="VerbatimChar"/>
        </w:rPr>
        <w:t xml:space="preserve">(7,"y Nets##")++ 1</w:t>
      </w:r>
      <w:r>
        <w:t xml:space="preserve">(8,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(рис. 3)</w:t>
      </w:r>
    </w:p>
    <w:p>
      <w:pPr>
        <w:pStyle w:val="CaptionedFigure"/>
      </w:pPr>
      <w:bookmarkStart w:id="33" w:name="fig:003"/>
      <w:r>
        <w:drawing>
          <wp:inline>
            <wp:extent cx="5334000" cy="2627325"/>
            <wp:effectExtent b="0" l="0" r="0" t="0"/>
            <wp:docPr descr="Рис. 3: Состояние Send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Состояние Send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</w:t>
      </w:r>
      <w:r>
        <w:t xml:space="preserve"> </w:t>
      </w:r>
      <w:r>
        <w:t xml:space="preserve">Состояние Receiver имеет тип DATA и начальное значение 1</w:t>
      </w:r>
      <w:r>
        <w:rPr>
          <w:rStyle w:val="VerbatimChar"/>
        </w:rPr>
        <w:t xml:space="preserve">"" (т.е. пустая строка, поскольку состояние собирает данные и номер пакета его не интересует). Состояние NextSend имеет тип INT и начальное значение 1</w:t>
      </w:r>
      <w:r>
        <w:t xml:space="preserve">1.</w:t>
      </w:r>
      <w:r>
        <w:t xml:space="preserve"> </w:t>
      </w:r>
      <w:r>
        <w:t xml:space="preserve">Поскольку пакеты представляют собой кортеж, состоящий из номера пакета и строки, то выражение у двусторонней дуги будет иметь значение (n,p).</w:t>
      </w:r>
      <w:r>
        <w:t xml:space="preserve"> </w:t>
      </w:r>
      <w:r>
        <w:t xml:space="preserve">Кроме того, необходимо взаимодействовать с состоянием, которое будет сообщать</w:t>
      </w:r>
      <w:r>
        <w:t xml:space="preserve"> </w:t>
      </w:r>
      <w:r>
        <w:t xml:space="preserve">номер следующего посылаемого пакета данных. Поэтому переход Send Packet</w:t>
      </w:r>
      <w:r>
        <w:t xml:space="preserve"> </w:t>
      </w:r>
      <w:r>
        <w:t xml:space="preserve">соединяем с состоянием NextSend двумя дугами с выражениями n.</w:t>
      </w:r>
      <w:r>
        <w:t xml:space="preserve"> </w:t>
      </w:r>
      <w:r>
        <w:t xml:space="preserve">Также необходимо получать информацию с подтверждениями о получении данных. От перехода Send Packet к состоянию NextSend дуга с выражением n,</w:t>
      </w:r>
      <w:r>
        <w:t xml:space="preserve"> </w:t>
      </w:r>
      <w:r>
        <w:t xml:space="preserve">обратно — k.</w:t>
      </w:r>
    </w:p>
    <w:p>
      <w:pPr>
        <w:numPr>
          <w:ilvl w:val="0"/>
          <w:numId w:val="1003"/>
        </w:numPr>
        <w:pStyle w:val="Compact"/>
      </w:pPr>
      <w:r>
        <w:t xml:space="preserve">Зададим промежуточные состояния (A, B с типом INTxDATA, C, D с типом INTxDATA) для переходов: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 (если n=k и мы не получили стоп-байт, то направляем в состояние строку и к ней прикрепляем p, в противном случае посылаем толко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1’8, соединяем с соответствующими переходами. (рис. 4)</w:t>
      </w:r>
    </w:p>
    <w:p>
      <w:pPr>
        <w:pStyle w:val="CaptionedFigure"/>
      </w:pPr>
      <w:bookmarkStart w:id="37" w:name="fig:004"/>
      <w:r>
        <w:drawing>
          <wp:inline>
            <wp:extent cx="5334000" cy="2823882"/>
            <wp:effectExtent b="0" l="0" r="0" t="0"/>
            <wp:docPr descr="Рис. 4: Добавление промежуточных состояний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Добавление промежуточных состояний</w:t>
      </w:r>
    </w:p>
    <w:p>
      <w:pPr>
        <w:pStyle w:val="BodyText"/>
      </w:pPr>
      <w:r>
        <w:t xml:space="preserve">В декларациях задаём: (рис. 5)</w:t>
      </w:r>
    </w:p>
    <w:p>
      <w:pPr>
        <w:pStyle w:val="CaptionedFigure"/>
      </w:pPr>
      <w:bookmarkStart w:id="41" w:name="fig:005"/>
      <w:r>
        <w:drawing>
          <wp:inline>
            <wp:extent cx="3419475" cy="1514475"/>
            <wp:effectExtent b="0" l="0" r="0" t="0"/>
            <wp:docPr descr="Рис. 5: Деклараци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Декларации</w:t>
      </w:r>
    </w:p>
    <w:p>
      <w:pPr>
        <w:numPr>
          <w:ilvl w:val="0"/>
          <w:numId w:val="1004"/>
        </w:numPr>
        <w:pStyle w:val="Compact"/>
      </w:pPr>
      <w:r>
        <w:t xml:space="preserve">Таким образом, получим модель простого протокола передачи данных.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 далее в состояние D, переход Receive ACK, состояние NextSend (увеличивая на 1 номер следующего пакета), переход Send Packet. Так продолжается до тех пор, пока не будут переданы все части сообщения. Последней будет передана стоппоследовательность. (рис. 6)</w:t>
      </w:r>
    </w:p>
    <w:p>
      <w:pPr>
        <w:pStyle w:val="CaptionedFigure"/>
      </w:pPr>
      <w:bookmarkStart w:id="45" w:name="fig:006"/>
      <w:r>
        <w:drawing>
          <wp:inline>
            <wp:extent cx="5334000" cy="3209878"/>
            <wp:effectExtent b="0" l="0" r="0" t="0"/>
            <wp:docPr descr="Рис. 6: Модель простого протокола передачи данных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Модель простого протокола передачи данных</w:t>
      </w:r>
    </w:p>
    <w:p>
      <w:pPr>
        <w:numPr>
          <w:ilvl w:val="0"/>
          <w:numId w:val="1005"/>
        </w:numPr>
        <w:pStyle w:val="Compact"/>
      </w:pPr>
      <w:r>
        <w:t xml:space="preserve">Сохраним модель и перезапустим. Увидим, что всё отображается корректно, запустим (рис. 7)</w:t>
      </w:r>
    </w:p>
    <w:p>
      <w:pPr>
        <w:pStyle w:val="CaptionedFigure"/>
      </w:pPr>
      <w:bookmarkStart w:id="49" w:name="fig:007"/>
      <w:r>
        <w:drawing>
          <wp:inline>
            <wp:extent cx="5334000" cy="3379917"/>
            <wp:effectExtent b="0" l="0" r="0" t="0"/>
            <wp:docPr descr="Рис. 7: Запуск модели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модели</w:t>
      </w:r>
    </w:p>
    <w:p>
      <w:pPr>
        <w:numPr>
          <w:ilvl w:val="0"/>
          <w:numId w:val="1006"/>
        </w:numPr>
        <w:pStyle w:val="Compact"/>
      </w:pPr>
      <w:r>
        <w:t xml:space="preserve">Отчёт о пространстве состояний:</w:t>
      </w:r>
    </w:p>
    <w:p>
      <w:pPr>
        <w:pStyle w:val="SourceCode"/>
      </w:pP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Видим, что у нас 13341 состояний и 206461 переходов между ними. Можем также проанализировать границы значений для промежуточных состояний A, B, C - наибольшая верхняя граница у A, затем у состояния B верхняя граница - 10. У вспомогательных состояний SP, SA, NextRec, NextSend, Receiver - 1, так как в них может находиться только один пакет, в состоянии Send - 8, так как в нем хранится только 8 элементов, как мы задавали в начале (никаких изменений с ним не происходило).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провела анализ его пространства состояний.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Алиева Милена Арифовна</dc:creator>
  <dc:language>ru-RU</dc:language>
  <cp:keywords/>
  <dcterms:created xsi:type="dcterms:W3CDTF">2025-04-26T15:11:53Z</dcterms:created>
  <dcterms:modified xsi:type="dcterms:W3CDTF">2025-04-26T15:11:53Z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Пример моделирования простого протокола передачи данных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