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Нам представлена схема модели: 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3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3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3"/>
        </w:numPr>
        <w:pStyle w:val="Compact"/>
      </w:pPr>
      <w:r>
        <w:t xml:space="preserve">B1 — занят, B2 — занят.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4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4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4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4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5" w:name="fig:001"/>
      <w:r>
        <w:drawing>
          <wp:inline>
            <wp:extent cx="5334000" cy="3754635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Сеть для выполнения домашнего задания</w:t>
      </w:r>
    </w:p>
    <w:p>
      <w:pPr>
        <w:numPr>
          <w:ilvl w:val="0"/>
          <w:numId w:val="1005"/>
        </w:numPr>
        <w:pStyle w:val="Compact"/>
      </w:pPr>
      <w:r>
        <w:t xml:space="preserve">Чтобы выполнить задание, построим дерево достижимости (рис. 2).</w:t>
      </w:r>
    </w:p>
    <w:p>
      <w:pPr>
        <w:pStyle w:val="CaptionedFigure"/>
      </w:pPr>
      <w:bookmarkStart w:id="29" w:name="fig:002"/>
      <w:r>
        <w:drawing>
          <wp:inline>
            <wp:extent cx="5334000" cy="4575571"/>
            <wp:effectExtent b="0" l="0" r="0" t="0"/>
            <wp:docPr descr="Рис. 2: 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Видим, что представленная сеть: безопасна (так как в каждой позиции количество фишек не превышает 1, ограничена (так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k, у нас k=1), сеть не является сохраняющей (так как при переходах t5 и t6 количество фишек меняется) и сеть не имеет тупиков (так как состояние устройств восстанавливается при срабатывании RAM — переходов T1 или T2; B1 — переходов T2 или T6; B2 — переходов T4 или T6).</w:t>
      </w:r>
    </w:p>
    <w:p>
      <w:pPr>
        <w:numPr>
          <w:ilvl w:val="0"/>
          <w:numId w:val="1006"/>
        </w:numPr>
        <w:pStyle w:val="Compact"/>
      </w:pPr>
      <w:r>
        <w:t xml:space="preserve">Реализуем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 (рис. 3).</w:t>
      </w:r>
    </w:p>
    <w:p>
      <w:pPr>
        <w:pStyle w:val="CaptionedFigure"/>
      </w:pPr>
      <w:bookmarkStart w:id="33" w:name="fig:003"/>
      <w:r>
        <w:drawing>
          <wp:inline>
            <wp:extent cx="5334000" cy="3462932"/>
            <wp:effectExtent b="0" l="0" r="0" t="0"/>
            <wp:docPr descr="Рис. 3: Модель в CPN Tools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в CPN Tools</w:t>
      </w:r>
    </w:p>
    <w:p>
      <w:pPr>
        <w:pStyle w:val="BodyText"/>
      </w:pPr>
      <w:r>
        <w:t xml:space="preserve">Также зададим нужные декларации (рис. 4):</w:t>
      </w:r>
    </w:p>
    <w:p>
      <w:pPr>
        <w:pStyle w:val="CaptionedFigure"/>
      </w:pPr>
      <w:bookmarkStart w:id="37" w:name="fig:004"/>
      <w:r>
        <w:drawing>
          <wp:inline>
            <wp:extent cx="5334000" cy="3297504"/>
            <wp:effectExtent b="0" l="0" r="0" t="0"/>
            <wp:docPr descr="Рис. 4: Деклараци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Декларации</w:t>
      </w:r>
    </w:p>
    <w:p>
      <w:pPr>
        <w:pStyle w:val="BodyText"/>
      </w:pPr>
      <w:r>
        <w:t xml:space="preserve">Запустим модель (рис. 5):</w:t>
      </w:r>
    </w:p>
    <w:p>
      <w:pPr>
        <w:pStyle w:val="CaptionedFigure"/>
      </w:pPr>
      <w:bookmarkStart w:id="41" w:name="fig:005"/>
      <w:r>
        <w:drawing>
          <wp:inline>
            <wp:extent cx="5334000" cy="3617118"/>
            <wp:effectExtent b="0" l="0" r="0" t="0"/>
            <wp:docPr descr="Рис. 5: Запуск модел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модели</w:t>
      </w:r>
    </w:p>
    <w:p>
      <w:pPr>
        <w:numPr>
          <w:ilvl w:val="0"/>
          <w:numId w:val="1007"/>
        </w:numPr>
        <w:pStyle w:val="Compact"/>
      </w:pPr>
      <w:r>
        <w:t xml:space="preserve">Далее сформируем граф пространства состояний, их всего 5. Для этого сначала мы сформировали код пространства состояний, затем применили</w:t>
      </w:r>
      <w:r>
        <w:t xml:space="preserve"> </w:t>
      </w:r>
      <w:r>
        <w:t xml:space="preserve">“</w:t>
      </w:r>
      <w:r>
        <w:t xml:space="preserve">Вычислить пространство состояний</w:t>
      </w:r>
      <w:r>
        <w:t xml:space="preserve">”</w:t>
      </w:r>
      <w:r>
        <w:t xml:space="preserve"> </w:t>
      </w:r>
      <w:r>
        <w:t xml:space="preserve">к листу, содержащему страницу сети (6).</w:t>
      </w:r>
    </w:p>
    <w:p>
      <w:pPr>
        <w:pStyle w:val="CaptionedFigure"/>
      </w:pPr>
      <w:bookmarkStart w:id="45" w:name="fig:006"/>
      <w:r>
        <w:drawing>
          <wp:inline>
            <wp:extent cx="5334000" cy="3779639"/>
            <wp:effectExtent b="0" l="0" r="0" t="0"/>
            <wp:docPr descr="Рис. 6: Граф пространства состояни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Затем сформировали отчёт о пространстве состояний, сохранили его: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/home/openmodelica/Downloads/petri_net(1).cpn</w:t>
      </w:r>
      <w:r>
        <w:br/>
      </w:r>
      <w:r>
        <w:rPr>
          <w:rStyle w:val="VerbatimChar"/>
        </w:rPr>
        <w:t xml:space="preserve">Report generated: Sat May  3 16:20:38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1`storage1</w:t>
      </w:r>
      <w:r>
        <w:br/>
      </w:r>
      <w:r>
        <w:rPr>
          <w:rStyle w:val="VerbatimChar"/>
        </w:rPr>
        <w:t xml:space="preserve">     New_Page'P3 1       1`storage2</w:t>
      </w:r>
      <w:r>
        <w:br/>
      </w:r>
      <w:r>
        <w:rPr>
          <w:rStyle w:val="VerbatimChar"/>
        </w:rPr>
        <w:t xml:space="preserve">     New_Page'P4 1       1`storage1</w:t>
      </w:r>
      <w:r>
        <w:br/>
      </w:r>
      <w:r>
        <w:rPr>
          <w:rStyle w:val="VerbatimChar"/>
        </w:rPr>
        <w:t xml:space="preserve">     New_Page'P5 1       1`storage2</w:t>
      </w:r>
      <w:r>
        <w:br/>
      </w:r>
      <w:r>
        <w:rPr>
          <w:rStyle w:val="VerbatimChar"/>
        </w:rPr>
        <w:t xml:space="preserve">     New_Page'P6 1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New_Page'T1 1          No Fairness</w:t>
      </w:r>
      <w:r>
        <w:br/>
      </w:r>
      <w:r>
        <w:rPr>
          <w:rStyle w:val="VerbatimChar"/>
        </w:rPr>
        <w:t xml:space="preserve">       New_Page'T2 1          No Fairness</w:t>
      </w:r>
      <w:r>
        <w:br/>
      </w:r>
      <w:r>
        <w:rPr>
          <w:rStyle w:val="VerbatimChar"/>
        </w:rPr>
        <w:t xml:space="preserve">       New_Page'T3 1          No Fairness</w:t>
      </w:r>
      <w:r>
        <w:br/>
      </w:r>
      <w:r>
        <w:rPr>
          <w:rStyle w:val="VerbatimChar"/>
        </w:rPr>
        <w:t xml:space="preserve">       New_Page'T4 1          No Fairness</w:t>
      </w:r>
      <w:r>
        <w:br/>
      </w:r>
      <w:r>
        <w:rPr>
          <w:rStyle w:val="VerbatimChar"/>
        </w:rPr>
        <w:t xml:space="preserve">       New_Page'T5 1          Just</w:t>
      </w:r>
      <w:r>
        <w:br/>
      </w:r>
      <w:r>
        <w:rPr>
          <w:rStyle w:val="VerbatimChar"/>
        </w:rPr>
        <w:t xml:space="preserve">       New_Page'T6 1          Fair</w:t>
      </w:r>
    </w:p>
    <w:p>
      <w:pPr>
        <w:pStyle w:val="FirstParagraph"/>
      </w:pPr>
      <w:r>
        <w:t xml:space="preserve">Видим, что у нас есть 5 состояний и 10 переходов между ними. Границы значений для каждого элемента: состояние P1 всегда заполнено 1 элементом, а остальные содержат максимум 1 элемент, минимум 0. Также можем заметить маркировку home для всех состояний, так как в любую позицию мы можем попасть из любой другой маркировки, а маркировка dead равная None означает, что нет состояний, из которых переходов быть не может. Отметим, что состояние T5 необходимо для того, чтобы система не попадала в тупик, а состояние T6 происходит всегда, если доступно.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анализ сети Петри, построила сеть в CPN Tools, построила граф состояний и провела его анализ.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Алиева Милена Арифовна</dc:creator>
  <dc:language>ru-RU</dc:language>
  <cp:keywords/>
  <dcterms:created xsi:type="dcterms:W3CDTF">2025-05-03T13:55:39Z</dcterms:created>
  <dcterms:modified xsi:type="dcterms:W3CDTF">2025-05-03T13:55:39Z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