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Override PartName="/word/media/rId30.jpg" ContentType="image/jpeg"/>
  <Override PartName="/word/media/rId34.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Алиева</w:t>
      </w:r>
      <w:r>
        <w:t xml:space="preserve"> </w:t>
      </w:r>
      <w:r>
        <w:t xml:space="preserve">Милена</w:t>
      </w:r>
      <w:r>
        <w:t xml:space="preserve"> </w:t>
      </w:r>
      <w:r>
        <w:t xml:space="preserve">Арифовна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r>
        <w:t xml:space="preserve"> </w:t>
      </w:r>
      <w:r>
        <w:t xml:space="preserve">[1]</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 модель обслуживания механиков на складе и модель обслуживания в порту судов двух типов</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FirstParagraph"/>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Получается, что модель будет выглядеть следующим образом (рис. 1).</w:t>
      </w:r>
    </w:p>
    <w:p>
      <w:pPr>
        <w:pStyle w:val="CaptionedFigure"/>
      </w:pPr>
      <w:bookmarkStart w:id="25" w:name="fig:001"/>
      <w:r>
        <w:drawing>
          <wp:inline>
            <wp:extent cx="5334000" cy="2846797"/>
            <wp:effectExtent b="0" l="0" r="0" t="0"/>
            <wp:docPr descr="Рис. 1: Модель обслуживания механиков с приоритетами"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5334000" cy="2846797"/>
                    </a:xfrm>
                    <a:prstGeom prst="rect">
                      <a:avLst/>
                    </a:prstGeom>
                    <a:noFill/>
                    <a:ln w="9525">
                      <a:noFill/>
                      <a:headEnd/>
                      <a:tailEnd/>
                    </a:ln>
                  </pic:spPr>
                </pic:pic>
              </a:graphicData>
            </a:graphic>
          </wp:inline>
        </w:drawing>
      </w:r>
      <w:bookmarkEnd w:id="25"/>
    </w:p>
    <w:p>
      <w:pPr>
        <w:pStyle w:val="ImageCaption"/>
      </w:pPr>
      <w:r>
        <w:t xml:space="preserve">Рис. 1: Модель обслуживания механиков с приоритетами</w:t>
      </w:r>
    </w:p>
    <w:p>
      <w:pPr>
        <w:pStyle w:val="BodyText"/>
      </w:pPr>
      <w:r>
        <w:t xml:space="preserve">После запуска симуляции получаем отчёт (рис. 2).</w:t>
      </w:r>
    </w:p>
    <w:p>
      <w:pPr>
        <w:pStyle w:val="CaptionedFigure"/>
      </w:pPr>
      <w:bookmarkStart w:id="29" w:name="fig:002"/>
      <w:r>
        <w:drawing>
          <wp:inline>
            <wp:extent cx="5334000" cy="3876576"/>
            <wp:effectExtent b="0" l="0" r="0" t="0"/>
            <wp:docPr descr="Рис. 2: Отчёт по модели обслуживания механиков с приоритетами"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3876576"/>
                    </a:xfrm>
                    <a:prstGeom prst="rect">
                      <a:avLst/>
                    </a:prstGeom>
                    <a:noFill/>
                    <a:ln w="9525">
                      <a:noFill/>
                      <a:headEnd/>
                      <a:tailEnd/>
                    </a:ln>
                  </pic:spPr>
                </pic:pic>
              </a:graphicData>
            </a:graphic>
          </wp:inline>
        </w:drawing>
      </w:r>
      <w:bookmarkEnd w:id="29"/>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numPr>
          <w:ilvl w:val="0"/>
          <w:numId w:val="1002"/>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w:t>
      </w:r>
      <w:r>
        <w:t xml:space="preserve"> </w:t>
      </w:r>
      <w:r>
        <w:t xml:space="preserve">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Была сгенерирована 71 заявка первого типа и 83 второго, а обработано 64 и 81 соответственно.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 QS1 – имя объекта типа «очередь» для первого типа заявок;</w:t>
      </w:r>
    </w:p>
    <w:p>
      <w:pPr>
        <w:numPr>
          <w:ilvl w:val="0"/>
          <w:numId w:val="1003"/>
        </w:numPr>
      </w:pPr>
      <w:r>
        <w:rPr>
          <w:rStyle w:val="VerbatimChar"/>
        </w:rPr>
        <w:t xml:space="preserve">MAX</w:t>
      </w:r>
      <w:r>
        <w:t xml:space="preserve">= 8 – максимальное число ожидающих заявок от клиента в очереди;</w:t>
      </w:r>
    </w:p>
    <w:p>
      <w:pPr>
        <w:numPr>
          <w:ilvl w:val="0"/>
          <w:numId w:val="1003"/>
        </w:numPr>
      </w:pPr>
      <w:r>
        <w:rPr>
          <w:rStyle w:val="VerbatimChar"/>
        </w:rPr>
        <w:t xml:space="preserve">CONT</w:t>
      </w:r>
      <w:r>
        <w:t xml:space="preserve">= 6 – количество заявок в очереди на момент завершения моделирования;</w:t>
      </w:r>
    </w:p>
    <w:p>
      <w:pPr>
        <w:numPr>
          <w:ilvl w:val="0"/>
          <w:numId w:val="1003"/>
        </w:numPr>
      </w:pPr>
      <w:r>
        <w:rPr>
          <w:rStyle w:val="VerbatimChar"/>
        </w:rPr>
        <w:t xml:space="preserve">ENTRIES</w:t>
      </w:r>
      <w:r>
        <w:t xml:space="preserve">= 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 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 2,177 заявок от клиентов в среднем были в очереди;</w:t>
      </w:r>
    </w:p>
    <w:p>
      <w:pPr>
        <w:numPr>
          <w:ilvl w:val="0"/>
          <w:numId w:val="1003"/>
        </w:numPr>
      </w:pPr>
      <w:r>
        <w:rPr>
          <w:rStyle w:val="VerbatimChar"/>
        </w:rPr>
        <w:t xml:space="preserve">AVE.TIME</w:t>
      </w:r>
      <w:r>
        <w:t xml:space="preserve">= 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 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 QS2 – имя объекта типа «очередь» для второго типа заявок;</w:t>
      </w:r>
    </w:p>
    <w:p>
      <w:pPr>
        <w:numPr>
          <w:ilvl w:val="0"/>
          <w:numId w:val="1003"/>
        </w:numPr>
      </w:pPr>
      <w:r>
        <w:rPr>
          <w:rStyle w:val="VerbatimChar"/>
        </w:rPr>
        <w:t xml:space="preserve">MAX</w:t>
      </w:r>
      <w:r>
        <w:t xml:space="preserve">= 3 – максимальное число ожидающих заявок от клиента в очереди;</w:t>
      </w:r>
    </w:p>
    <w:p>
      <w:pPr>
        <w:numPr>
          <w:ilvl w:val="0"/>
          <w:numId w:val="1003"/>
        </w:numPr>
      </w:pPr>
      <w:r>
        <w:rPr>
          <w:rStyle w:val="VerbatimChar"/>
        </w:rPr>
        <w:t xml:space="preserve">CONT</w:t>
      </w:r>
      <w:r>
        <w:t xml:space="preserve">= 2 – количество заявок в очереди на момент завершения моделирования;</w:t>
      </w:r>
    </w:p>
    <w:p>
      <w:pPr>
        <w:numPr>
          <w:ilvl w:val="0"/>
          <w:numId w:val="1003"/>
        </w:numPr>
      </w:pPr>
      <w:r>
        <w:rPr>
          <w:rStyle w:val="VerbatimChar"/>
        </w:rPr>
        <w:t xml:space="preserve">ENTRIES</w:t>
      </w:r>
      <w:r>
        <w:t xml:space="preserve">= 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 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 0,439 заявок от клиентов в среднем были в очереди;</w:t>
      </w:r>
    </w:p>
    <w:p>
      <w:pPr>
        <w:numPr>
          <w:ilvl w:val="0"/>
          <w:numId w:val="1003"/>
        </w:numPr>
      </w:pPr>
      <w:r>
        <w:rPr>
          <w:rStyle w:val="VerbatimChar"/>
        </w:rPr>
        <w:t xml:space="preserve">AVE.TIME</w:t>
      </w:r>
      <w:r>
        <w:t xml:space="preserve">= 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 152,162 минут в среднем заявки от клиентов провели в очереди (без учета «нулевых» входов в очередь).</w:t>
      </w:r>
    </w:p>
    <w:p>
      <w:pPr>
        <w:numPr>
          <w:ilvl w:val="0"/>
          <w:numId w:val="1004"/>
        </w:numPr>
        <w:pStyle w:val="Compact"/>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FirstParagraph"/>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bookmarkStart w:id="33" w:name="fig:003"/>
      <w:r>
        <w:drawing>
          <wp:inline>
            <wp:extent cx="5334000" cy="3126509"/>
            <wp:effectExtent b="0" l="0" r="0" t="0"/>
            <wp:docPr descr="Рис. 3: Модель обслуживания в порту судов двух типов"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5334000" cy="3126509"/>
                    </a:xfrm>
                    <a:prstGeom prst="rect">
                      <a:avLst/>
                    </a:prstGeom>
                    <a:noFill/>
                    <a:ln w="9525">
                      <a:noFill/>
                      <a:headEnd/>
                      <a:tailEnd/>
                    </a:ln>
                  </pic:spPr>
                </pic:pic>
              </a:graphicData>
            </a:graphic>
          </wp:inline>
        </w:drawing>
      </w:r>
      <w:bookmarkEnd w:id="33"/>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bookmarkStart w:id="37" w:name="fig:004"/>
      <w:r>
        <w:drawing>
          <wp:inline>
            <wp:extent cx="5334000" cy="4379547"/>
            <wp:effectExtent b="0" l="0" r="0" t="0"/>
            <wp:docPr descr="Рис. 4: Отчёт по модели обслуживания в порту судов двух типов"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5334000" cy="4379547"/>
                    </a:xfrm>
                    <a:prstGeom prst="rect">
                      <a:avLst/>
                    </a:prstGeom>
                    <a:noFill/>
                    <a:ln w="9525">
                      <a:noFill/>
                      <a:headEnd/>
                      <a:tailEnd/>
                    </a:ln>
                  </pic:spPr>
                </pic:pic>
              </a:graphicData>
            </a:graphic>
          </wp:inline>
        </w:drawing>
      </w:r>
      <w:bookmarkEnd w:id="37"/>
    </w:p>
    <w:p>
      <w:pPr>
        <w:pStyle w:val="ImageCaption"/>
      </w:pPr>
      <w:r>
        <w:t xml:space="preserve">Рис. 4: Отчёт по модели обслуживания в порту судов двух типов</w:t>
      </w:r>
    </w:p>
    <w:p>
      <w:pPr>
        <w:pStyle w:val="CaptionedFigure"/>
      </w:pPr>
      <w:bookmarkStart w:id="41" w:name="fig:005"/>
      <w:r>
        <w:drawing>
          <wp:inline>
            <wp:extent cx="5334000" cy="2080260"/>
            <wp:effectExtent b="0" l="0" r="0" t="0"/>
            <wp:docPr descr="Рис. 5: Отчёт по модели обслуживания в порту судов двух типов"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5334000" cy="2080260"/>
                    </a:xfrm>
                    <a:prstGeom prst="rect">
                      <a:avLst/>
                    </a:prstGeom>
                    <a:noFill/>
                    <a:ln w="9525">
                      <a:noFill/>
                      <a:headEnd/>
                      <a:tailEnd/>
                    </a:ln>
                  </pic:spPr>
                </pic:pic>
              </a:graphicData>
            </a:graphic>
          </wp:inline>
        </w:drawing>
      </w:r>
      <w:bookmarkEnd w:id="41"/>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 TYPE1 – имя объекта типа «очередь» для первого типа судов;</w:t>
      </w:r>
    </w:p>
    <w:p>
      <w:pPr>
        <w:numPr>
          <w:ilvl w:val="0"/>
          <w:numId w:val="1006"/>
        </w:numPr>
      </w:pPr>
      <w:r>
        <w:rPr>
          <w:rStyle w:val="VerbatimChar"/>
        </w:rPr>
        <w:t xml:space="preserve">MAX</w:t>
      </w:r>
      <w:r>
        <w:t xml:space="preserve">= 4 – максимальное число ожидающих заявок от клиента в очереди;</w:t>
      </w:r>
    </w:p>
    <w:p>
      <w:pPr>
        <w:numPr>
          <w:ilvl w:val="0"/>
          <w:numId w:val="1006"/>
        </w:numPr>
      </w:pPr>
      <w:r>
        <w:rPr>
          <w:rStyle w:val="VerbatimChar"/>
        </w:rPr>
        <w:t xml:space="preserve">CONT</w:t>
      </w:r>
      <w:r>
        <w:t xml:space="preserve">= 0 – на момент завершения моделирования очередь была пуста;</w:t>
      </w:r>
    </w:p>
    <w:p>
      <w:pPr>
        <w:numPr>
          <w:ilvl w:val="0"/>
          <w:numId w:val="1006"/>
        </w:numPr>
      </w:pPr>
      <w:r>
        <w:rPr>
          <w:rStyle w:val="VerbatimChar"/>
        </w:rPr>
        <w:t xml:space="preserve">ENTRIES</w:t>
      </w:r>
      <w:r>
        <w:t xml:space="preserve">= 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 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 0,750 заявок от клиентов в среднем были в очереди;</w:t>
      </w:r>
    </w:p>
    <w:p>
      <w:pPr>
        <w:numPr>
          <w:ilvl w:val="0"/>
          <w:numId w:val="1006"/>
        </w:numPr>
      </w:pPr>
      <w:r>
        <w:rPr>
          <w:rStyle w:val="VerbatimChar"/>
        </w:rPr>
        <w:t xml:space="preserve">AVE.TIME</w:t>
      </w:r>
      <w:r>
        <w:t xml:space="preserve">= 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 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 TYPE2 – имя объекта типа «очередь» для второго типа судов;</w:t>
      </w:r>
    </w:p>
    <w:p>
      <w:pPr>
        <w:numPr>
          <w:ilvl w:val="0"/>
          <w:numId w:val="1006"/>
        </w:numPr>
      </w:pPr>
      <w:r>
        <w:rPr>
          <w:rStyle w:val="VerbatimChar"/>
        </w:rPr>
        <w:t xml:space="preserve">MAX</w:t>
      </w:r>
      <w:r>
        <w:t xml:space="preserve">= 4 – максимальное число ожидающих заявок от клиента в очереди;</w:t>
      </w:r>
    </w:p>
    <w:p>
      <w:pPr>
        <w:numPr>
          <w:ilvl w:val="0"/>
          <w:numId w:val="1006"/>
        </w:numPr>
      </w:pPr>
      <w:r>
        <w:rPr>
          <w:rStyle w:val="VerbatimChar"/>
        </w:rPr>
        <w:t xml:space="preserve">CONT</w:t>
      </w:r>
      <w:r>
        <w:t xml:space="preserve">= 2 – количество заявок в очереди на момент завершения моделирования;</w:t>
      </w:r>
    </w:p>
    <w:p>
      <w:pPr>
        <w:numPr>
          <w:ilvl w:val="0"/>
          <w:numId w:val="1006"/>
        </w:numPr>
      </w:pPr>
      <w:r>
        <w:rPr>
          <w:rStyle w:val="VerbatimChar"/>
        </w:rPr>
        <w:t xml:space="preserve">ENTRIES</w:t>
      </w:r>
      <w:r>
        <w:t xml:space="preserve">= 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 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 0,897 заявок от клиентов в среднем были в очереди;</w:t>
      </w:r>
    </w:p>
    <w:p>
      <w:pPr>
        <w:numPr>
          <w:ilvl w:val="0"/>
          <w:numId w:val="1006"/>
        </w:numPr>
      </w:pPr>
      <w:r>
        <w:rPr>
          <w:rStyle w:val="VerbatimChar"/>
        </w:rPr>
        <w:t xml:space="preserve">AVE.TIME</w:t>
      </w:r>
      <w:r>
        <w:t xml:space="preserve">= 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 382,576 минут в среднем заявки от клиентов провели в очереди (без учета «нулевых» входов в очередь).</w:t>
      </w:r>
    </w:p>
    <w:p>
      <w:pPr>
        <w:pStyle w:val="FirstParagraph"/>
      </w:pPr>
      <w:r>
        <w:t xml:space="preserve">Видим, что к первому типу причалов на обработку поступило 1345 судов(первого типа), полезность работы причалов составила 0,977, при этом среднее время занятости причалов составило 5,863 мин. Ко второму типу причалов на обработку поступило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 К буксирам поступили судна 4454 раз.</w:t>
      </w:r>
    </w:p>
    <w:bookmarkEnd w:id="42"/>
    <w:bookmarkStart w:id="43" w:name="выводы"/>
    <w:p>
      <w:pPr>
        <w:pStyle w:val="Heading1"/>
      </w:pPr>
      <w:r>
        <w:rPr>
          <w:rStyle w:val="SectionNumber"/>
        </w:rPr>
        <w:t xml:space="preserve">4</w:t>
      </w:r>
      <w:r>
        <w:tab/>
      </w:r>
      <w:r>
        <w:t xml:space="preserve">Выводы</w:t>
      </w:r>
    </w:p>
    <w:p>
      <w:pPr>
        <w:pStyle w:val="FirstParagraph"/>
      </w:pPr>
      <w:r>
        <w:t xml:space="preserve">В результате данной лабораторной работы я реализовала с помощью gpss модель обслуживания механиков на складе и модель обслуживания в порту судов двух типов</w:t>
      </w:r>
    </w:p>
    <w:bookmarkEnd w:id="43"/>
    <w:bookmarkStart w:id="46" w:name="список-литературы"/>
    <w:p>
      <w:pPr>
        <w:pStyle w:val="Heading1"/>
      </w:pPr>
      <w:r>
        <w:t xml:space="preserve">Список литературы</w:t>
      </w:r>
    </w:p>
    <w:bookmarkStart w:id="45" w:name="refs"/>
    <w:bookmarkStart w:id="44" w:name="ref-lab"/>
    <w:p>
      <w:pPr>
        <w:pStyle w:val="Bibliography"/>
      </w:pPr>
      <w:r>
        <w:t xml:space="preserve">1.</w:t>
      </w:r>
      <w:r>
        <w:t xml:space="preserve"> </w:t>
      </w:r>
      <w:r>
        <w:t xml:space="preserve">	</w:t>
      </w:r>
      <w:r>
        <w:t xml:space="preserve">Королькова А.В., Кулябов Д.С. Лабораторная работа 15. Модели обслуживания с приоритетами [Электронный ресурс].</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Алиева Милена Арифовна</dc:creator>
  <dc:language>ru-RU</dc:language>
  <cp:keywords/>
  <dcterms:created xsi:type="dcterms:W3CDTF">2025-05-17T13:19:13Z</dcterms:created>
  <dcterms:modified xsi:type="dcterms:W3CDTF">2025-05-17T13:19:13Z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Модели обслуживания с приоритетами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