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Guion de presentación de PetBoutique</w:t>
      </w:r>
    </w:p>
    <w:p>
      <w:pPr>
        <w:pStyle w:val="Subtitle"/>
      </w:pPr>
      <w:r>
        <w:rPr>
          <w:b w:val="0"/>
        </w:rPr>
        <w:t>Evaluación Final Transversal de DevOps ISY2201</w:t>
      </w:r>
    </w:p>
    <w:p>
      <w:r>
        <w:rPr>
          <w:b/>
        </w:rPr>
        <w:t>Matías Andrés Muñoz Soto y Bastián Ortiz Gómez  |  Grupo 6</w:t>
      </w:r>
    </w:p>
    <w:p>
      <w:r>
        <w:rPr>
          <w:b w:val="0"/>
        </w:rPr>
        <w:t>Duración sugerida 9 minutos y 15 segundos. Máximo solicitado 10 minutos. Matías presenta la primera parte y Bastián la segunda. Cada página del guion indica la pantalla, la acción y el texto hablado.</w:t>
      </w:r>
    </w:p>
    <w:p>
      <w:pPr>
        <w:pStyle w:val="Heading1"/>
      </w:pPr>
      <w:r>
        <w:t>Preparación antes de grabar</w:t>
      </w:r>
    </w:p>
    <w:p>
      <w:r>
        <w:rPr>
          <w:b w:val="0"/>
        </w:rPr>
        <w:t>Reunirse en Teams y comprobar que ambos micrófonos se escuchen. Iniciar la grabación, compartir la ventana del proyecto y verificar que los textos se lean. Mantener este guion fuera de la ventana compartida o consultarlo en otro dispositivo.</w:t>
      </w:r>
    </w:p>
    <w:p>
      <w:r>
        <w:rPr>
          <w:b w:val="0"/>
        </w:rPr>
        <w:t>Abrir las pantallas mediante los enlaces del guion antes de comenzar. Matías puede compartir durante todo el video mientras Bastián habla; así se evitan cambios de presentador. Usar un zoom cómodo y señalar los elementos sin desplazarse rápidamente.</w:t>
      </w:r>
    </w:p>
    <w:p>
      <w:r>
        <w:rPr>
          <w:b w:val="0"/>
        </w:rPr>
        <w:t>Ensayar una vez con cronómetro. Los tiempos incluyen cambios de pantalla y una intervención individual de 40 a 45 segundos por integrante. Leer únicamente los párrafos de GUION PARA DECIR; las instrucciones son para preparar la grabación.</w:t>
      </w:r>
    </w:p>
    <w:p>
      <w:r>
        <w:rPr>
          <w:b w:val="0"/>
        </w:rPr>
        <w:t>Completar los aportes individuales de la última página antes de grabar. Cada integrante debe explicar qué hizo en las experiencias 1, 2 y 3 y qué aprendió. Utilizar tareas y evidencias que pueda justificar.</w:t>
      </w:r>
    </w:p>
    <w:p>
      <w:r>
        <w:rPr>
          <w:b w:val="0"/>
        </w:rPr>
        <w:t>Al finalizar, comprobar audio, pantalla y duración. Copiar el enlace de la grabación en la sección 10 del informe y verificar que el profesor pueda acceder.</w:t>
      </w:r>
    </w:p>
    <w:p>
      <w:pPr>
        <w:pStyle w:val="Heading1"/>
      </w:pPr>
      <w:r>
        <w:t>Distribución y requisitos del video</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pPr>
              <w:spacing w:after="80"/>
            </w:pPr>
            <w:r>
              <w:rPr>
                <w:b/>
                <w:sz w:val="20"/>
              </w:rPr>
              <w:t>Presentador</w:t>
            </w:r>
          </w:p>
        </w:tc>
        <w:tc>
          <w:tcPr>
            <w:tcW w:type="dxa" w:w="3360"/>
            <w:shd w:fill="EDEDED"/>
          </w:tcPr>
          <w:p>
            <w:pPr>
              <w:spacing w:after="80"/>
            </w:pPr>
            <w:r>
              <w:rPr>
                <w:b/>
                <w:sz w:val="20"/>
              </w:rPr>
              <w:t>Tiempo</w:t>
            </w:r>
          </w:p>
        </w:tc>
        <w:tc>
          <w:tcPr>
            <w:tcW w:type="dxa" w:w="3360"/>
            <w:shd w:fill="EDEDED"/>
          </w:tcPr>
          <w:p>
            <w:pPr>
              <w:spacing w:after="80"/>
            </w:pPr>
            <w:r>
              <w:rPr>
                <w:b/>
                <w:sz w:val="20"/>
              </w:rPr>
              <w:t>Contenido</w:t>
            </w:r>
          </w:p>
        </w:tc>
      </w:tr>
      <w:tr>
        <w:tc>
          <w:tcPr>
            <w:tcW w:type="dxa" w:w="3360"/>
          </w:tcPr>
          <w:p>
            <w:pPr>
              <w:spacing w:after="80"/>
            </w:pPr>
            <w:r>
              <w:rPr>
                <w:sz w:val="20"/>
              </w:rPr>
              <w:t>Matías</w:t>
            </w:r>
          </w:p>
        </w:tc>
        <w:tc>
          <w:tcPr>
            <w:tcW w:type="dxa" w:w="3360"/>
          </w:tcPr>
          <w:p>
            <w:pPr>
              <w:spacing w:after="80"/>
            </w:pPr>
            <w:r>
              <w:rPr>
                <w:sz w:val="20"/>
              </w:rPr>
              <w:t>00:00 a 04:30</w:t>
            </w:r>
          </w:p>
        </w:tc>
        <w:tc>
          <w:tcPr>
            <w:tcW w:type="dxa" w:w="3360"/>
          </w:tcPr>
          <w:p>
            <w:pPr>
              <w:spacing w:after="80"/>
            </w:pPr>
            <w:r>
              <w:rPr>
                <w:sz w:val="20"/>
              </w:rPr>
              <w:t>Introducción, objetivos, infraestructura, contenedores y desempeño individual</w:t>
            </w:r>
          </w:p>
        </w:tc>
      </w:tr>
      <w:tr>
        <w:tc>
          <w:tcPr>
            <w:tcW w:type="dxa" w:w="3360"/>
          </w:tcPr>
          <w:p>
            <w:pPr>
              <w:spacing w:after="80"/>
            </w:pPr>
            <w:r>
              <w:rPr>
                <w:sz w:val="20"/>
              </w:rPr>
              <w:t>Bastián</w:t>
            </w:r>
          </w:p>
        </w:tc>
        <w:tc>
          <w:tcPr>
            <w:tcW w:type="dxa" w:w="3360"/>
          </w:tcPr>
          <w:p>
            <w:pPr>
              <w:spacing w:after="80"/>
            </w:pPr>
            <w:r>
              <w:rPr>
                <w:sz w:val="20"/>
              </w:rPr>
              <w:t>04:30 a 09:15</w:t>
            </w:r>
          </w:p>
        </w:tc>
        <w:tc>
          <w:tcPr>
            <w:tcW w:type="dxa" w:w="3360"/>
          </w:tcPr>
          <w:p>
            <w:pPr>
              <w:spacing w:after="80"/>
            </w:pPr>
            <w:r>
              <w:rPr>
                <w:sz w:val="20"/>
              </w:rPr>
              <w:t>Metodología CI/CD, resultados, desafíos, desempeño individual y conclusiones</w:t>
            </w:r>
          </w:p>
        </w:tc>
      </w:tr>
    </w:tbl>
    <w:p>
      <w:pPr>
        <w:pStyle w:val="Caption"/>
      </w:pPr>
      <w:r>
        <w:rPr>
          <w:b w:val="0"/>
        </w:rPr>
        <w:t>Las seis secciones solicitadas son introducción y contexto, objetivos, metodología, resultados, desafíos y lecciones, y conclusión. Las imágenes orientan la navegación; durante el video se muestran las páginas o archivos indicados.</w:t>
      </w:r>
    </w:p>
    <w:p>
      <w:r>
        <w:br w:type="page"/>
      </w:r>
    </w:p>
    <w:p>
      <w:pPr>
        <w:pStyle w:val="Subtitle"/>
      </w:pPr>
      <w:r>
        <w:rPr>
          <w:b w:val="0"/>
        </w:rPr>
        <w:t>PARTE 1  MATÍAS  00:00 a 01:00</w:t>
      </w:r>
    </w:p>
    <w:p>
      <w:pPr>
        <w:pStyle w:val="Heading1"/>
      </w:pPr>
      <w:r>
        <w:t>Introducción y objetivos</w:t>
      </w:r>
    </w:p>
    <w:p>
      <w:r>
        <w:rPr>
          <w:b/>
        </w:rPr>
        <w:t>PANTALLA QUE SE COMPARTE</w:t>
      </w:r>
    </w:p>
    <w:p>
      <w:pPr>
        <w:spacing w:after="100"/>
      </w:pPr>
      <w:hyperlink r:id="rId10">
        <w:r>
          <w:rPr>
            <w:b/>
          </w:rPr>
          <w:t>Abrir PetBoutique</w:t>
        </w:r>
      </w:hyperlink>
    </w:p>
    <w:p>
      <w:pPr>
        <w:spacing w:after="60"/>
        <w:jc w:val="center"/>
      </w:pPr>
      <w:r>
        <w:drawing>
          <wp:inline xmlns:a="http://schemas.openxmlformats.org/drawingml/2006/main" xmlns:pic="http://schemas.openxmlformats.org/drawingml/2006/picture">
            <wp:extent cx="5062532" cy="2423160"/>
            <wp:docPr id="1" name="Picture 1" descr="Pantalla actual de PetBoutique S9 capturada el 10 de octubre de 2026."/>
            <wp:cNvGraphicFramePr>
              <a:graphicFrameLocks noChangeAspect="1"/>
            </wp:cNvGraphicFramePr>
            <a:graphic>
              <a:graphicData uri="http://schemas.openxmlformats.org/drawingml/2006/picture">
                <pic:pic>
                  <pic:nvPicPr>
                    <pic:cNvPr id="0" name="app-portada.png"/>
                    <pic:cNvPicPr/>
                  </pic:nvPicPr>
                  <pic:blipFill>
                    <a:blip r:embed="rId11"/>
                    <a:stretch>
                      <a:fillRect/>
                    </a:stretch>
                  </pic:blipFill>
                  <pic:spPr>
                    <a:xfrm>
                      <a:off x="0" y="0"/>
                      <a:ext cx="5062532" cy="2423160"/>
                    </a:xfrm>
                    <a:prstGeom prst="rect"/>
                  </pic:spPr>
                </pic:pic>
              </a:graphicData>
            </a:graphic>
          </wp:inline>
        </w:drawing>
      </w:r>
    </w:p>
    <w:p>
      <w:pPr>
        <w:pStyle w:val="Caption"/>
      </w:pPr>
      <w:r>
        <w:rPr>
          <w:b w:val="0"/>
        </w:rPr>
        <w:t>Pantalla actual de PetBoutique S9 capturada el 10 de octubre de 2026.</w:t>
      </w:r>
    </w:p>
    <w:p>
      <w:r>
        <w:rPr>
          <w:b/>
        </w:rPr>
        <w:t>QUÉ MOSTRAR</w:t>
      </w:r>
    </w:p>
    <w:p>
      <w:r>
        <w:rPr>
          <w:b w:val="0"/>
        </w:rPr>
        <w:t>Mostrar el título, el catálogo y el formulario. Explicar el propósito sin realizar una compra. Mantener esta vista mientras se presentan los objetivos.</w:t>
      </w:r>
    </w:p>
    <w:p>
      <w:r>
        <w:rPr>
          <w:b/>
        </w:rPr>
        <w:t>GUION PARA DECIR</w:t>
      </w:r>
    </w:p>
    <w:p>
      <w:r>
        <w:rPr>
          <w:b w:val="0"/>
        </w:rPr>
        <w:t>Buenos días, profesor. Somos Matías Andrés Muñoz Soto y Bastián Ortiz Gómez, del Grupo 6. Presentaremos PetBoutique y la integración de las tres experiencias de aprendizaje en nuestra Evaluación Final Transversal de DevOps.</w:t>
      </w:r>
    </w:p>
    <w:p>
      <w:r>
        <w:rPr>
          <w:b w:val="0"/>
        </w:rPr>
        <w:t>PetBoutique es una demostración académica de un catálogo para mascotas. Utiliza precios ficticios y permite verificar cotizaciones; no procesa compras ni pagos. El problema que abordamos es conectar el desarrollo con la operación para que una versión se pueda construir, comprobar e instalar de manera trazable.</w:t>
      </w:r>
    </w:p>
    <w:p>
      <w:r>
        <w:rPr>
          <w:b w:val="0"/>
        </w:rPr>
        <w:t>Nuestros objetivos fueron configurar infraestructura en Azure, separar la web y la API en contenedores, administrar su ejecución con Docker Compose y automatizar la validación y la promoción hacia staging y producción académica. También incorporamos monitoreo y recuperación ante fallos. Mostraré primero la infraestructura y los contenedores; después Bastián explicará el pipeline, sus resultados y las lecciones aprendidas.</w:t>
      </w:r>
    </w:p>
    <w:p>
      <w:r>
        <w:br w:type="page"/>
      </w:r>
    </w:p>
    <w:p>
      <w:pPr>
        <w:pStyle w:val="Subtitle"/>
      </w:pPr>
      <w:r>
        <w:rPr>
          <w:b w:val="0"/>
        </w:rPr>
        <w:t>PARTE 1  MATÍAS  01:00 a 02:15</w:t>
      </w:r>
    </w:p>
    <w:p>
      <w:pPr>
        <w:pStyle w:val="Heading1"/>
      </w:pPr>
      <w:r>
        <w:t>Experiencia 1 e infraestructura</w:t>
      </w:r>
    </w:p>
    <w:p>
      <w:r>
        <w:rPr>
          <w:b/>
        </w:rPr>
        <w:t>PANTALLA QUE SE COMPARTE</w:t>
      </w:r>
    </w:p>
    <w:p>
      <w:pPr>
        <w:spacing w:after="100"/>
      </w:pPr>
      <w:hyperlink r:id="rId12">
        <w:r>
          <w:rPr>
            <w:b/>
          </w:rPr>
          <w:t>Abrir la VM en Microsoft Azure</w:t>
        </w:r>
      </w:hyperlink>
    </w:p>
    <w:p>
      <w:pPr>
        <w:spacing w:after="60"/>
        <w:jc w:val="center"/>
      </w:pPr>
      <w:r>
        <w:drawing>
          <wp:inline xmlns:a="http://schemas.openxmlformats.org/drawingml/2006/main" xmlns:pic="http://schemas.openxmlformats.org/drawingml/2006/picture">
            <wp:extent cx="5391039" cy="2423160"/>
            <wp:docPr id="2" name="Picture 2" descr="Referencia histórica de la experiencia 1. Para grabar, abrir la vista actual de la misma VM."/>
            <wp:cNvGraphicFramePr>
              <a:graphicFrameLocks noChangeAspect="1"/>
            </wp:cNvGraphicFramePr>
            <a:graphic>
              <a:graphicData uri="http://schemas.openxmlformats.org/drawingml/2006/picture">
                <pic:pic>
                  <pic:nvPicPr>
                    <pic:cNvPr id="0" name="s1-image5.jpeg"/>
                    <pic:cNvPicPr/>
                  </pic:nvPicPr>
                  <pic:blipFill>
                    <a:blip r:embed="rId13"/>
                    <a:stretch>
                      <a:fillRect/>
                    </a:stretch>
                  </pic:blipFill>
                  <pic:spPr>
                    <a:xfrm>
                      <a:off x="0" y="0"/>
                      <a:ext cx="5391039" cy="2423160"/>
                    </a:xfrm>
                    <a:prstGeom prst="rect"/>
                  </pic:spPr>
                </pic:pic>
              </a:graphicData>
            </a:graphic>
          </wp:inline>
        </w:drawing>
      </w:r>
    </w:p>
    <w:p>
      <w:pPr>
        <w:pStyle w:val="Caption"/>
      </w:pPr>
      <w:r>
        <w:rPr>
          <w:b w:val="0"/>
        </w:rPr>
        <w:t>Referencia histórica de la experiencia 1. Para grabar, abrir la vista actual de la misma VM.</w:t>
      </w:r>
    </w:p>
    <w:p>
      <w:r>
        <w:rPr>
          <w:b/>
        </w:rPr>
        <w:t>QUÉ MOSTRAR</w:t>
      </w:r>
    </w:p>
    <w:p>
      <w:r>
        <w:rPr>
          <w:b w:val="0"/>
        </w:rPr>
        <w:t>En Información general, señalar vm-petboutique-lab, Ubuntu, la IP y el grupo de recursos. Si el portal no está disponible, mostrar el diagrama de arquitectura del informe, identificándolo como esquema.</w:t>
      </w:r>
    </w:p>
    <w:p>
      <w:r>
        <w:rPr>
          <w:b/>
        </w:rPr>
        <w:t>GUION PARA DECIR</w:t>
      </w:r>
    </w:p>
    <w:p>
      <w:r>
        <w:rPr>
          <w:b w:val="0"/>
        </w:rPr>
        <w:t>En la experiencia 1 organizamos el caso en Azure DevOps, conservamos el código en Azure Repos y establecimos integración continua. La corrida identificada con el número 2 aprobó nueve pruebas y publicó un artefacto. Esa primera etapa validaba el código, aunque todavía no automatizaba todo el despliegue.</w:t>
      </w:r>
    </w:p>
    <w:p>
      <w:r>
        <w:rPr>
          <w:b w:val="0"/>
        </w:rPr>
        <w:t>La infraestructura utiliza la máquina virtual vm-petboutique-lab, con Ubuntu 24.04, dentro del grupo rg-petboutique-lab. Tiene dos CPU virtuales y un gigabyte de memoria nominal. La dirección pública es la que utilizamos para acceder al servicio. El grupo de seguridad permite HTTP para la demostración y SSH para administración.</w:t>
      </w:r>
    </w:p>
    <w:p>
      <w:r>
        <w:rPr>
          <w:b w:val="0"/>
        </w:rPr>
        <w:t>Apache recibe las solicitudes públicas y las reenvía al servicio web. La infraestructura se mantiene en una sola VM académica. Esto permite demostrar el flujo, pero también significa que ambos entornos dependen del mismo servidor. El aprendizaje de esta etapa fue relacionar código, pruebas, red y servidor antes de avanzar a los contenedores.</w:t>
      </w:r>
    </w:p>
    <w:p>
      <w:r>
        <w:br w:type="page"/>
      </w:r>
    </w:p>
    <w:p>
      <w:pPr>
        <w:pStyle w:val="Subtitle"/>
      </w:pPr>
      <w:r>
        <w:rPr>
          <w:b w:val="0"/>
        </w:rPr>
        <w:t>PARTE 1  MATÍAS  02:15 a 04:30</w:t>
      </w:r>
    </w:p>
    <w:p>
      <w:pPr>
        <w:pStyle w:val="Heading1"/>
      </w:pPr>
      <w:r>
        <w:t>Experiencia 2 y contenedores</w:t>
      </w:r>
    </w:p>
    <w:p>
      <w:r>
        <w:rPr>
          <w:b/>
        </w:rPr>
        <w:t>PANTALLA QUE SE COMPARTE</w:t>
      </w:r>
    </w:p>
    <w:p>
      <w:pPr>
        <w:spacing w:after="100"/>
      </w:pPr>
      <w:hyperlink r:id="rId14">
        <w:r>
          <w:rPr>
            <w:b/>
          </w:rPr>
          <w:t>Abrir el diagrama de arquitectura</w:t>
        </w:r>
      </w:hyperlink>
    </w:p>
    <w:p>
      <w:pPr>
        <w:spacing w:after="60"/>
        <w:jc w:val="center"/>
      </w:pPr>
      <w:r>
        <w:drawing>
          <wp:inline xmlns:a="http://schemas.openxmlformats.org/drawingml/2006/main" xmlns:pic="http://schemas.openxmlformats.org/drawingml/2006/picture">
            <wp:extent cx="3204754" cy="2103120"/>
            <wp:docPr id="3" name="Picture 3" descr="Arquitectura de la experiencia 3 que se conserva en S9. Web y API tienen procesos separados."/>
            <wp:cNvGraphicFramePr>
              <a:graphicFrameLocks noChangeAspect="1"/>
            </wp:cNvGraphicFramePr>
            <a:graphic>
              <a:graphicData uri="http://schemas.openxmlformats.org/drawingml/2006/picture">
                <pic:pic>
                  <pic:nvPicPr>
                    <pic:cNvPr id="0" name="diagrama-arquitectura.png"/>
                    <pic:cNvPicPr/>
                  </pic:nvPicPr>
                  <pic:blipFill>
                    <a:blip r:embed="rId15"/>
                    <a:stretch>
                      <a:fillRect/>
                    </a:stretch>
                  </pic:blipFill>
                  <pic:spPr>
                    <a:xfrm>
                      <a:off x="0" y="0"/>
                      <a:ext cx="3204754" cy="2103120"/>
                    </a:xfrm>
                    <a:prstGeom prst="rect"/>
                  </pic:spPr>
                </pic:pic>
              </a:graphicData>
            </a:graphic>
          </wp:inline>
        </w:drawing>
      </w:r>
    </w:p>
    <w:p>
      <w:pPr>
        <w:pStyle w:val="Caption"/>
      </w:pPr>
      <w:r>
        <w:rPr>
          <w:b w:val="0"/>
        </w:rPr>
        <w:t>Arquitectura de la experiencia 3 que se conserva en S9. Web y API tienen procesos separados.</w:t>
      </w:r>
    </w:p>
    <w:p>
      <w:r>
        <w:rPr>
          <w:b/>
        </w:rPr>
        <w:t>QUÉ MOSTRAR</w:t>
      </w:r>
    </w:p>
    <w:p>
      <w:r>
        <w:rPr>
          <w:b w:val="0"/>
        </w:rPr>
        <w:t>Recorrer navegador, Apache, web y API. Después abrir petboutique-s8/compose.yaml y señalar los servicios api y web, los límites de memoria y el puerto local.</w:t>
      </w:r>
    </w:p>
    <w:p>
      <w:r>
        <w:rPr>
          <w:b/>
        </w:rPr>
        <w:t>GUION PARA DECIR</w:t>
      </w:r>
    </w:p>
    <w:p>
      <w:r>
        <w:rPr>
          <w:b w:val="0"/>
        </w:rPr>
        <w:t>En la experiencia 2 dividimos la aplicación en dos servicios. La web utiliza Nginx y la API utiliza ASP.NET Core. Cada uno tiene su Dockerfile, por lo que la presentación y la lógica pueden empaquetarse por separado.</w:t>
      </w:r>
    </w:p>
    <w:p>
      <w:r>
        <w:rPr>
          <w:b w:val="0"/>
        </w:rPr>
        <w:t>Docker Compose declara cómo se ejecutan juntos. Configura su red interna, límites de recursos y puertos. La API se comunica con la web dentro de esa red y no publica un puerto hacia Internet. En producción, Apache se conecta a la web por el puerto local 8080; staging utiliza el 8081.</w:t>
      </w:r>
    </w:p>
    <w:p>
      <w:r>
        <w:rPr>
          <w:b w:val="0"/>
        </w:rPr>
        <w:t>La API tiene un límite de 320 megabytes y la web de 96. Estos límites ayudan a administrar una VM pequeña. En la experiencia 2 también se publicaron las imágenes s6-v1 en Azure Container Registry y se aprobaron diez comprobaciones. La prueba de independencia mantuvo la página estática disponible al detener la API y permitió recuperarla sin recrear la web.</w:t>
      </w:r>
    </w:p>
    <w:p>
      <w:r>
        <w:rPr>
          <w:b w:val="0"/>
        </w:rPr>
        <w:t>Aprendimos que separar los procesos facilita el mantenimiento, aunque una función que necesita la API deja de responder si ese servicio se detiene. Además, ambos contenedores continúan compartiendo los recursos de la misma máquina.</w:t>
      </w:r>
    </w:p>
    <w:p>
      <w:r>
        <w:rPr>
          <w:b/>
        </w:rPr>
        <w:t>Ahora Matías explica sus aportes reales en las tres experiencias usando el bloque individual de la última página. Reservar 40 a 45 segundos. Cerrar diciendo: Bastián continuará con la automatización y los resultados.</w:t>
      </w:r>
    </w:p>
    <w:p>
      <w:r>
        <w:br w:type="page"/>
      </w:r>
    </w:p>
    <w:p>
      <w:pPr>
        <w:pStyle w:val="Subtitle"/>
      </w:pPr>
      <w:r>
        <w:rPr>
          <w:b w:val="0"/>
        </w:rPr>
        <w:t>PARTE 2  BASTIÁN  04:30 a 05:50</w:t>
      </w:r>
    </w:p>
    <w:p>
      <w:pPr>
        <w:pStyle w:val="Heading1"/>
      </w:pPr>
      <w:r>
        <w:t>Experiencia 3 y metodología CI CD</w:t>
      </w:r>
    </w:p>
    <w:p>
      <w:r>
        <w:rPr>
          <w:b/>
        </w:rPr>
        <w:t>PANTALLA QUE SE COMPARTE</w:t>
      </w:r>
    </w:p>
    <w:p>
      <w:pPr>
        <w:spacing w:after="100"/>
      </w:pPr>
      <w:hyperlink r:id="rId16">
        <w:r>
          <w:rPr>
            <w:b/>
          </w:rPr>
          <w:t>Abrir la corrida final de Azure Pipelines</w:t>
        </w:r>
      </w:hyperlink>
    </w:p>
    <w:p>
      <w:pPr>
        <w:spacing w:after="60"/>
        <w:jc w:val="center"/>
      </w:pPr>
      <w:r>
        <w:drawing>
          <wp:inline xmlns:a="http://schemas.openxmlformats.org/drawingml/2006/main" xmlns:pic="http://schemas.openxmlformats.org/drawingml/2006/picture">
            <wp:extent cx="5391039" cy="2423160"/>
            <wp:docPr id="4" name="Picture 4" descr="Corrida final 20261010.2 ID 8. CI, Staging y Production terminaron en Success."/>
            <wp:cNvGraphicFramePr>
              <a:graphicFrameLocks noChangeAspect="1"/>
            </wp:cNvGraphicFramePr>
            <a:graphic>
              <a:graphicData uri="http://schemas.openxmlformats.org/drawingml/2006/picture">
                <pic:pic>
                  <pic:nvPicPr>
                    <pic:cNvPr id="0" name="pipeline-final.png"/>
                    <pic:cNvPicPr/>
                  </pic:nvPicPr>
                  <pic:blipFill>
                    <a:blip r:embed="rId17"/>
                    <a:stretch>
                      <a:fillRect/>
                    </a:stretch>
                  </pic:blipFill>
                  <pic:spPr>
                    <a:xfrm>
                      <a:off x="0" y="0"/>
                      <a:ext cx="5391039" cy="2423160"/>
                    </a:xfrm>
                    <a:prstGeom prst="rect"/>
                  </pic:spPr>
                </pic:pic>
              </a:graphicData>
            </a:graphic>
          </wp:inline>
        </w:drawing>
      </w:r>
    </w:p>
    <w:p>
      <w:pPr>
        <w:pStyle w:val="Caption"/>
      </w:pPr>
      <w:r>
        <w:rPr>
          <w:b w:val="0"/>
        </w:rPr>
        <w:t>Corrida final 20261010.2 ID 8. CI, Staging y Production terminaron en Success.</w:t>
      </w:r>
    </w:p>
    <w:p>
      <w:r>
        <w:rPr>
          <w:b/>
        </w:rPr>
        <w:t>QUÉ MOSTRAR</w:t>
      </w:r>
    </w:p>
    <w:p>
      <w:r>
        <w:rPr>
          <w:b w:val="0"/>
        </w:rPr>
        <w:t>Señalar las tres etapas verdes, la rama final, el commit 410b4300 y los tres artefactos. Explicar el YAML sin iniciar una nueva corrida.</w:t>
      </w:r>
    </w:p>
    <w:p>
      <w:r>
        <w:rPr>
          <w:b/>
        </w:rPr>
        <w:t>GUION PARA DECIR</w:t>
      </w:r>
    </w:p>
    <w:p>
      <w:r>
        <w:rPr>
          <w:b w:val="0"/>
        </w:rPr>
        <w:t>Soy Bastián Ortiz Gómez. En la experiencia 3 conectamos la integración continua con el despliegue y el monitoreo. La metodología se basa en cambios versionados, configuración declarativa y pruebas que permiten comprobar cada avance.</w:t>
      </w:r>
    </w:p>
    <w:p>
      <w:r>
        <w:rPr>
          <w:b w:val="0"/>
        </w:rPr>
        <w:t>El flujo tiene tres etapas. CI construye las imágenes de web y API, inicia los servicios y ejecuta diez verificaciones. Después publica un paquete con las imágenes, scripts y la referencia del commit. Staging descarga ese mismo paquete, lo instala en el entorno temporal y vuelve a comprobarlo. Production depende de que staging termine correctamente.</w:t>
      </w:r>
    </w:p>
    <w:p>
      <w:r>
        <w:rPr>
          <w:b w:val="0"/>
        </w:rPr>
        <w:t>La promoción reutiliza las imágenes aprobadas y verifica la integridad del archivo transferido. Las credenciales SSH se obtienen desde un archivo seguro de Azure DevOps y permanecen fuera del repositorio. Así podemos relacionar el código, el paquete y el despliegue.</w:t>
      </w:r>
    </w:p>
    <w:p>
      <w:r>
        <w:rPr>
          <w:b w:val="0"/>
        </w:rPr>
        <w:t>Para S9 se reutilizó el pipeline autorizado y se inició manualmente la corrida final. Una vez iniciada, la secuencia de CI, staging y producción se ejecuta automáticamente. Las imágenes S9 se transfieren mediante Pipeline Artifacts; ACR conserva el antecedente de la experiencia 2.</w:t>
      </w:r>
    </w:p>
    <w:p>
      <w:r>
        <w:br w:type="page"/>
      </w:r>
    </w:p>
    <w:p>
      <w:pPr>
        <w:pStyle w:val="Subtitle"/>
      </w:pPr>
      <w:r>
        <w:rPr>
          <w:b w:val="0"/>
        </w:rPr>
        <w:t>PARTE 2  BASTIÁN  05:50 a 06:50</w:t>
      </w:r>
    </w:p>
    <w:p>
      <w:pPr>
        <w:pStyle w:val="Heading1"/>
      </w:pPr>
      <w:r>
        <w:t>Resultados y evidencias</w:t>
      </w:r>
    </w:p>
    <w:p>
      <w:r>
        <w:rPr>
          <w:b/>
        </w:rPr>
        <w:t>PANTALLA QUE SE COMPARTE</w:t>
      </w:r>
    </w:p>
    <w:p>
      <w:pPr>
        <w:spacing w:after="100"/>
      </w:pPr>
      <w:hyperlink r:id="rId18">
        <w:r>
          <w:rPr>
            <w:b/>
          </w:rPr>
          <w:t>Abrir public-tests.json en GitHub</w:t>
        </w:r>
      </w:hyperlink>
    </w:p>
    <w:p>
      <w:pPr>
        <w:spacing w:after="60"/>
        <w:jc w:val="center"/>
      </w:pPr>
      <w:r>
        <w:drawing>
          <wp:inline xmlns:a="http://schemas.openxmlformats.org/drawingml/2006/main" xmlns:pic="http://schemas.openxmlformats.org/drawingml/2006/picture">
            <wp:extent cx="5392663" cy="2423160"/>
            <wp:docPr id="5" name="Picture 5" descr="Registro publicado de las pruebas públicas S9. passed y total tienen valor 10."/>
            <wp:cNvGraphicFramePr>
              <a:graphicFrameLocks noChangeAspect="1"/>
            </wp:cNvGraphicFramePr>
            <a:graphic>
              <a:graphicData uri="http://schemas.openxmlformats.org/drawingml/2006/picture">
                <pic:pic>
                  <pic:nvPicPr>
                    <pic:cNvPr id="0" name="pruebas-publicas.png"/>
                    <pic:cNvPicPr/>
                  </pic:nvPicPr>
                  <pic:blipFill>
                    <a:blip r:embed="rId19"/>
                    <a:stretch>
                      <a:fillRect/>
                    </a:stretch>
                  </pic:blipFill>
                  <pic:spPr>
                    <a:xfrm>
                      <a:off x="0" y="0"/>
                      <a:ext cx="5392663" cy="2423160"/>
                    </a:xfrm>
                    <a:prstGeom prst="rect"/>
                  </pic:spPr>
                </pic:pic>
              </a:graphicData>
            </a:graphic>
          </wp:inline>
        </w:drawing>
      </w:r>
    </w:p>
    <w:p>
      <w:pPr>
        <w:pStyle w:val="Caption"/>
      </w:pPr>
      <w:r>
        <w:rPr>
          <w:b w:val="0"/>
        </w:rPr>
        <w:t>Registro publicado de las pruebas públicas S9. passed y total tienen valor 10.</w:t>
      </w:r>
    </w:p>
    <w:p>
      <w:r>
        <w:rPr>
          <w:b/>
        </w:rPr>
        <w:t>QUÉ MOSTRAR</w:t>
      </w:r>
    </w:p>
    <w:p>
      <w:r>
        <w:rPr>
          <w:b w:val="0"/>
        </w:rPr>
        <w:t>Señalar passed 10 y total 10. Desplazarse hasta los casos de cotización y comparar expected con actual. Volver brevemente a Azure para relacionar estos resultados con la corrida ID 8.</w:t>
      </w:r>
    </w:p>
    <w:p>
      <w:r>
        <w:rPr>
          <w:b/>
        </w:rPr>
        <w:t>GUION PARA DECIR</w:t>
      </w:r>
    </w:p>
    <w:p>
      <w:r>
        <w:rPr>
          <w:b w:val="0"/>
        </w:rPr>
        <w:t>La corrida final número 8 terminó correctamente en cuatro minutos y diez segundos. Aprobó CI, staging y producción, y publicó tres artefactos. La versión desplegada utiliza las imágenes s8-8; el prefijo se conserva porque reutilizamos el pipeline de la experiencia 3.</w:t>
      </w:r>
    </w:p>
    <w:p>
      <w:r>
        <w:rPr>
          <w:b w:val="0"/>
        </w:rPr>
        <w:t>Aquí vemos la evidencia del acceso público: diez casos ejecutados y diez aprobados. Se comprueban la página principal, la salud de web y API, el catálogo, una cotización válida y entradas incorrectas. Por ejemplo, una cantidad cero debe devolver un error 400 y un producto inexistente debe devolver 404. El resultado correcto depende de que coincida con lo esperado.</w:t>
      </w:r>
    </w:p>
    <w:p>
      <w:r>
        <w:rPr>
          <w:b w:val="0"/>
        </w:rPr>
        <w:t>También se conservaron los registros de staging y producción. Estas comprobaciones muestran que los casos ensayados funcionaron; no equivalen a una prueba de carga ni a cobertura completa de código. El logro principal es poder respaldar el despliegue con evidencias asociadas a una versión concreta.</w:t>
      </w:r>
    </w:p>
    <w:p>
      <w:r>
        <w:br w:type="page"/>
      </w:r>
    </w:p>
    <w:p>
      <w:pPr>
        <w:pStyle w:val="Subtitle"/>
      </w:pPr>
      <w:r>
        <w:rPr>
          <w:b w:val="0"/>
        </w:rPr>
        <w:t>PARTE 2  BASTIÁN  06:50 a 07:50</w:t>
      </w:r>
    </w:p>
    <w:p>
      <w:pPr>
        <w:pStyle w:val="Heading1"/>
      </w:pPr>
      <w:r>
        <w:t>Desafíos y lecciones aprendidas</w:t>
      </w:r>
    </w:p>
    <w:p>
      <w:r>
        <w:rPr>
          <w:b/>
        </w:rPr>
        <w:t>PANTALLA QUE SE COMPARTE</w:t>
      </w:r>
    </w:p>
    <w:p>
      <w:pPr>
        <w:spacing w:after="100"/>
      </w:pPr>
      <w:hyperlink r:id="rId20">
        <w:r>
          <w:rPr>
            <w:b/>
          </w:rPr>
          <w:t>Abrir runtime-state.txt en GitHub</w:t>
        </w:r>
      </w:hyperlink>
    </w:p>
    <w:p>
      <w:pPr>
        <w:spacing w:after="60"/>
        <w:jc w:val="center"/>
      </w:pPr>
      <w:r>
        <w:drawing>
          <wp:inline xmlns:a="http://schemas.openxmlformats.org/drawingml/2006/main" xmlns:pic="http://schemas.openxmlformats.org/drawingml/2006/picture">
            <wp:extent cx="5392663" cy="2423160"/>
            <wp:docPr id="6" name="Picture 6" descr="Estado registrado después del cierre S9. Muestra la swap, imágenes s8-8 y contenedores activos."/>
            <wp:cNvGraphicFramePr>
              <a:graphicFrameLocks noChangeAspect="1"/>
            </wp:cNvGraphicFramePr>
            <a:graphic>
              <a:graphicData uri="http://schemas.openxmlformats.org/drawingml/2006/picture">
                <pic:pic>
                  <pic:nvPicPr>
                    <pic:cNvPr id="0" name="estado-contenedores.png"/>
                    <pic:cNvPicPr/>
                  </pic:nvPicPr>
                  <pic:blipFill>
                    <a:blip r:embed="rId21"/>
                    <a:stretch>
                      <a:fillRect/>
                    </a:stretch>
                  </pic:blipFill>
                  <pic:spPr>
                    <a:xfrm>
                      <a:off x="0" y="0"/>
                      <a:ext cx="5392663" cy="2423160"/>
                    </a:xfrm>
                    <a:prstGeom prst="rect"/>
                  </pic:spPr>
                </pic:pic>
              </a:graphicData>
            </a:graphic>
          </wp:inline>
        </w:drawing>
      </w:r>
    </w:p>
    <w:p>
      <w:pPr>
        <w:pStyle w:val="Caption"/>
      </w:pPr>
      <w:r>
        <w:rPr>
          <w:b w:val="0"/>
        </w:rPr>
        <w:t>Estado registrado después del cierre S9. Muestra la swap, imágenes s8-8 y contenedores activos.</w:t>
      </w:r>
    </w:p>
    <w:p>
      <w:r>
        <w:rPr>
          <w:b/>
        </w:rPr>
        <w:t>QUÉ MOSTRAR</w:t>
      </w:r>
    </w:p>
    <w:p>
      <w:r>
        <w:rPr>
          <w:b w:val="0"/>
        </w:rPr>
        <w:t>Señalar Swap y las etiquetas s8-8. Abrir incidente-build-7.json si se necesita identificar la corrida cancelada. Presentar el archivo como registro fechado, no como medición en vivo.</w:t>
      </w:r>
    </w:p>
    <w:p>
      <w:r>
        <w:rPr>
          <w:b/>
        </w:rPr>
        <w:t>GUION PARA DECIR</w:t>
      </w:r>
    </w:p>
    <w:p>
      <w:r>
        <w:rPr>
          <w:b w:val="0"/>
        </w:rPr>
        <w:t>Uno de los desafíos fue la capacidad de memoria del laboratorio. Durante el primer intento de cierre, la corrida 7 aprobó CI, pero la VM dejó de responder en staging. Esa corrida se canceló y producción quedó omitida. Los registros del kernel mostraron presión de memoria.</w:t>
      </w:r>
    </w:p>
    <w:p>
      <w:r>
        <w:rPr>
          <w:b w:val="0"/>
        </w:rPr>
        <w:t>Para aportar margen durante la coexistencia de ambos entornos se habilitó un gigabyte de swap persistente en el disco existente. También se limitaron a cinco segundos las solicitudes de salud de cada intento. Después de esas mejoras, la corrida 8 completó la promoción.</w:t>
      </w:r>
    </w:p>
    <w:p>
      <w:r>
        <w:rPr>
          <w:b w:val="0"/>
        </w:rPr>
        <w:t>La lección es revisar la capacidad disponible antes de desplegar y conservar registros que permitan investigar una falla. La swap aporta margen de recuperación, pero no reemplaza la RAM. También incorporamos monitoreo cada minuto y ensayamos rollback en staging durante la experiencia 3. Esa prueba recuperó una versión que volvió a aprobar diez casos.</w:t>
      </w:r>
    </w:p>
    <w:p>
      <w:r>
        <w:br w:type="page"/>
      </w:r>
    </w:p>
    <w:p>
      <w:pPr>
        <w:pStyle w:val="Subtitle"/>
      </w:pPr>
      <w:r>
        <w:rPr>
          <w:b w:val="0"/>
        </w:rPr>
        <w:t>PARTE 2  BASTIÁN  07:50 a 09:15</w:t>
      </w:r>
    </w:p>
    <w:p>
      <w:pPr>
        <w:pStyle w:val="Heading1"/>
      </w:pPr>
      <w:r>
        <w:t>Conclusión y reflexión final</w:t>
      </w:r>
    </w:p>
    <w:p>
      <w:r>
        <w:rPr>
          <w:b/>
        </w:rPr>
        <w:t>PANTALLA QUE SE COMPARTE</w:t>
      </w:r>
    </w:p>
    <w:p>
      <w:pPr>
        <w:spacing w:after="100"/>
      </w:pPr>
      <w:hyperlink r:id="rId22">
        <w:r>
          <w:rPr>
            <w:b/>
          </w:rPr>
          <w:t>Abrir la entrega del proyecto en GitHub</w:t>
        </w:r>
      </w:hyperlink>
    </w:p>
    <w:p>
      <w:pPr>
        <w:spacing w:after="60"/>
        <w:jc w:val="center"/>
      </w:pPr>
      <w:r>
        <w:drawing>
          <wp:inline xmlns:a="http://schemas.openxmlformats.org/drawingml/2006/main" xmlns:pic="http://schemas.openxmlformats.org/drawingml/2006/picture">
            <wp:extent cx="5392663" cy="2423160"/>
            <wp:docPr id="7" name="Picture 7" descr="Repositorio final. entrega contiene el informe y evidencias contiene los registros de validación."/>
            <wp:cNvGraphicFramePr>
              <a:graphicFrameLocks noChangeAspect="1"/>
            </wp:cNvGraphicFramePr>
            <a:graphic>
              <a:graphicData uri="http://schemas.openxmlformats.org/drawingml/2006/picture">
                <pic:pic>
                  <pic:nvPicPr>
                    <pic:cNvPr id="0" name="github-entrega.png"/>
                    <pic:cNvPicPr/>
                  </pic:nvPicPr>
                  <pic:blipFill>
                    <a:blip r:embed="rId23"/>
                    <a:stretch>
                      <a:fillRect/>
                    </a:stretch>
                  </pic:blipFill>
                  <pic:spPr>
                    <a:xfrm>
                      <a:off x="0" y="0"/>
                      <a:ext cx="5392663" cy="2423160"/>
                    </a:xfrm>
                    <a:prstGeom prst="rect"/>
                  </pic:spPr>
                </pic:pic>
              </a:graphicData>
            </a:graphic>
          </wp:inline>
        </w:drawing>
      </w:r>
    </w:p>
    <w:p>
      <w:pPr>
        <w:pStyle w:val="Caption"/>
      </w:pPr>
      <w:r>
        <w:rPr>
          <w:b w:val="0"/>
        </w:rPr>
        <w:t>Repositorio final. entrega contiene el informe y evidencias contiene los registros de validación.</w:t>
      </w:r>
    </w:p>
    <w:p>
      <w:r>
        <w:rPr>
          <w:b/>
        </w:rPr>
        <w:t>QUÉ MOSTRAR</w:t>
      </w:r>
    </w:p>
    <w:p>
      <w:r>
        <w:rPr>
          <w:b w:val="0"/>
        </w:rPr>
        <w:t>Primero realizar la intervención individual de Bastián. Después mostrar las carpetas entrega, evidencias y petboutique-s8. Terminar con los enlaces del README o con las conclusiones del informe.</w:t>
      </w:r>
    </w:p>
    <w:p>
      <w:r>
        <w:rPr>
          <w:b/>
        </w:rPr>
        <w:t>GUION PARA DECIR</w:t>
      </w:r>
    </w:p>
    <w:p>
      <w:r>
        <w:rPr>
          <w:b w:val="0"/>
        </w:rPr>
        <w:t>Las tres experiencias permitieron avanzar desde infraestructura y código validado hasta contenedores y una promoción automatizada con monitoreo. La evaluación final reúne esa evolución y la respalda con el informe, el código, las corridas y los registros.</w:t>
      </w:r>
    </w:p>
    <w:p>
      <w:r>
        <w:rPr>
          <w:b w:val="0"/>
        </w:rPr>
        <w:t>Como reflexión, una configuración describe lo que esperamos que ocurra; las pruebas y los registros muestran lo que realmente ocurrió. Aprendimos a conservar esa relación para investigar problemas y repetir el procedimiento.</w:t>
      </w:r>
    </w:p>
    <w:p>
      <w:r>
        <w:rPr>
          <w:b w:val="0"/>
        </w:rPr>
        <w:t>La solución cumple el alcance de un laboratorio académico sobre una sola VM. Las mejoras futuras son incorporar HTTPS, permisos de despliegue más limitados, alertas externas y pruebas de carga. El repositorio conserva los archivos necesarios para revisar el trabajo y el informe contiene los enlaces a Azure DevOps y a la máquina virtual. Muchas gracias, profesor.</w:t>
      </w:r>
    </w:p>
    <w:p>
      <w:r>
        <w:rPr>
          <w:b/>
        </w:rPr>
        <w:t>Antes del cierre, Bastián explica sus aportes reales en las tres experiencias con el bloque de la última página. Reservar 40 a 45 segundos. Meta de término 09:15; conservar margen hasta el máximo de 10 minutos.</w:t>
      </w:r>
    </w:p>
    <w:p>
      <w:r>
        <w:br w:type="page"/>
      </w:r>
    </w:p>
    <w:p>
      <w:pPr>
        <w:pStyle w:val="Heading1"/>
      </w:pPr>
      <w:r>
        <w:t>Intervención individual de cada integrante</w:t>
      </w:r>
    </w:p>
    <w:p>
      <w:r>
        <w:rPr>
          <w:b w:val="0"/>
        </w:rPr>
        <w:t>Preparar antes del ensayo. Esta hoja complementa el texto hablado porque la evaluación pide explicar el desempeño personal en cada actividad sumativa. Los aportes se completan con tareas efectivamente realizadas y una evidencia que se pueda mostrar.</w:t>
      </w:r>
    </w:p>
    <w:p>
      <w:pPr>
        <w:pStyle w:val="Heading2"/>
      </w:pPr>
      <w:r>
        <w:t>Matías</w:t>
      </w:r>
    </w:p>
    <w:p>
      <w:r>
        <w:rPr>
          <w:b w:val="0"/>
        </w:rPr>
        <w:t>En la experiencia 1, mi aporte fue __________. Lo puedo explicar mostrando __________. Aprendí __________.</w:t>
      </w:r>
    </w:p>
    <w:p>
      <w:r>
        <w:rPr>
          <w:b w:val="0"/>
        </w:rPr>
        <w:t>En la experiencia 2, mi aporte fue __________. La evidencia es __________. Aprendí __________.</w:t>
      </w:r>
    </w:p>
    <w:p>
      <w:r>
        <w:rPr>
          <w:b w:val="0"/>
        </w:rPr>
        <w:t>En la experiencia 3 y el cierre, mi aporte fue __________. Lo respaldo con __________. Mi principal aprendizaje fue __________.</w:t>
      </w:r>
    </w:p>
    <w:p>
      <w:pPr>
        <w:pStyle w:val="Heading2"/>
      </w:pPr>
      <w:r>
        <w:t>Bastián</w:t>
      </w:r>
    </w:p>
    <w:p>
      <w:r>
        <w:rPr>
          <w:b w:val="0"/>
        </w:rPr>
        <w:t>En la experiencia 1, mi aporte fue __________. Lo puedo explicar mostrando __________. Aprendí __________.</w:t>
      </w:r>
    </w:p>
    <w:p>
      <w:r>
        <w:rPr>
          <w:b w:val="0"/>
        </w:rPr>
        <w:t>En la experiencia 2, mi aporte fue __________. La evidencia es __________. Aprendí __________.</w:t>
      </w:r>
    </w:p>
    <w:p>
      <w:r>
        <w:rPr>
          <w:b w:val="0"/>
        </w:rPr>
        <w:t>En la experiencia 3 y el cierre, mi aporte fue __________. Lo respaldo con __________. Mi principal aprendizaje fue __________.</w:t>
      </w:r>
    </w:p>
    <w:p>
      <w:pPr>
        <w:pStyle w:val="Caption"/>
      </w:pPr>
      <w:r>
        <w:rPr>
          <w:b w:val="0"/>
        </w:rPr>
        <w:t>Dedicar aproximadamente 12 a 15 segundos por experiencia. Si el aporte consistió en revisión, pruebas o documentación, describir esa actividad y el resultado observado. Elegir una evidencia concreta; no atribuirse operaciones que no se realizaron.</w:t>
      </w:r>
    </w:p>
    <w:p>
      <w:pPr>
        <w:pStyle w:val="Heading1"/>
      </w:pPr>
      <w:r>
        <w:t>Pantallas de apoyo ya incluidas</w:t>
      </w:r>
    </w:p>
    <w:p>
      <w:r>
        <w:rPr>
          <w:b w:val="0"/>
        </w:rPr>
        <w:t>Aplicación actual, VM como referencia histórica, diagrama de arquitectura, corrida final de Azure, pruebas públicas, estado de contenedores y repositorio final. Las imágenes capturadas para este guion corresponden al 10 de octubre de 2026; los registros conservan sus propias fechas.</w:t>
      </w:r>
    </w:p>
    <w:p>
      <w:pPr>
        <w:spacing w:after="100"/>
      </w:pPr>
      <w:hyperlink r:id="rId24">
        <w:r>
          <w:rPr>
            <w:b/>
          </w:rPr>
          <w:t>Código de Docker Compose</w:t>
        </w:r>
      </w:hyperlink>
    </w:p>
    <w:p>
      <w:pPr>
        <w:spacing w:after="100"/>
      </w:pPr>
      <w:hyperlink r:id="rId25">
        <w:r>
          <w:rPr>
            <w:b/>
          </w:rPr>
          <w:t>Estado del monitoreo</w:t>
        </w:r>
      </w:hyperlink>
    </w:p>
    <w:p>
      <w:pPr>
        <w:spacing w:after="100"/>
      </w:pPr>
      <w:hyperlink r:id="rId26">
        <w:r>
          <w:rPr>
            <w:b/>
          </w:rPr>
          <w:t>Registro del incidente de la corrida 7</w:t>
        </w:r>
      </w:hyperlink>
    </w:p>
    <w:p>
      <w:pPr>
        <w:pStyle w:val="Caption"/>
      </w:pPr>
      <w:r>
        <w:rPr>
          <w:b w:val="0"/>
        </w:rPr>
        <w:t>Fuente de los requisitos del video: formato institucional de respuesta Semana 9, Parte II Presentación. Fuente de los resultados: informe final y evidencias publicadas de PetBoutique.</w:t>
      </w:r>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Guion de grabación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20.80.27.195/" TargetMode="External"/><Relationship Id="rId11" Type="http://schemas.openxmlformats.org/officeDocument/2006/relationships/image" Target="media/image1.png"/><Relationship Id="rId12" Type="http://schemas.openxmlformats.org/officeDocument/2006/relationships/hyperlink" Target="https://portal.azure.com/#@duoc.cl/resource/subscriptions/1fdaaaf8-fac4-468f-a9b0-541fd7376aa9/resourceGroups/rg-petboutique-lab/providers/Microsoft.Compute/virtualMachines/vm-petboutique-lab/overview" TargetMode="External"/><Relationship Id="rId13" Type="http://schemas.openxmlformats.org/officeDocument/2006/relationships/image" Target="media/image2.jpeg"/><Relationship Id="rId14" Type="http://schemas.openxmlformats.org/officeDocument/2006/relationships/hyperlink" Target="https://github.com/maamunozs-commits/PetBoutique-EFT-S9/blob/maamunozs/petboutique-eft-s9/evidencias/s8/diagrama-arquitectura.png" TargetMode="External"/><Relationship Id="rId15" Type="http://schemas.openxmlformats.org/officeDocument/2006/relationships/image" Target="media/image3.png"/><Relationship Id="rId16" Type="http://schemas.openxmlformats.org/officeDocument/2006/relationships/hyperlink" Target="https://dev.azure.com/maamunozs/ISY2201-Pipeline/_build/results?buildId=8&amp;view=results" TargetMode="External"/><Relationship Id="rId17" Type="http://schemas.openxmlformats.org/officeDocument/2006/relationships/image" Target="media/image4.png"/><Relationship Id="rId18" Type="http://schemas.openxmlformats.org/officeDocument/2006/relationships/hyperlink" Target="https://github.com/maamunozs-commits/PetBoutique-EFT-S9/blob/maamunozs/petboutique-eft-s9/evidencias/s9/public-tests.json" TargetMode="External"/><Relationship Id="rId19" Type="http://schemas.openxmlformats.org/officeDocument/2006/relationships/image" Target="media/image5.png"/><Relationship Id="rId20" Type="http://schemas.openxmlformats.org/officeDocument/2006/relationships/hyperlink" Target="https://github.com/maamunozs-commits/PetBoutique-EFT-S9/blob/maamunozs/petboutique-eft-s9/evidencias/s9/runtime-state.txt" TargetMode="External"/><Relationship Id="rId21" Type="http://schemas.openxmlformats.org/officeDocument/2006/relationships/image" Target="media/image6.png"/><Relationship Id="rId22" Type="http://schemas.openxmlformats.org/officeDocument/2006/relationships/hyperlink" Target="https://github.com/maamunozs-commits/PetBoutique-EFT-S9" TargetMode="External"/><Relationship Id="rId23" Type="http://schemas.openxmlformats.org/officeDocument/2006/relationships/image" Target="media/image7.png"/><Relationship Id="rId24" Type="http://schemas.openxmlformats.org/officeDocument/2006/relationships/hyperlink" Target="https://github.com/maamunozs-commits/PetBoutique-EFT-S9/blob/maamunozs/petboutique-eft-s9/petboutique-s8/compose.yaml" TargetMode="External"/><Relationship Id="rId25" Type="http://schemas.openxmlformats.org/officeDocument/2006/relationships/hyperlink" Target="https://github.com/maamunozs-commits/PetBoutique-EFT-S9/blob/maamunozs/petboutique-eft-s9/evidencias/s9/monitor-status.txt" TargetMode="External"/><Relationship Id="rId26" Type="http://schemas.openxmlformats.org/officeDocument/2006/relationships/hyperlink" Target="https://github.com/maamunozs-commits/PetBoutique-EFT-S9/blob/maamunozs/petboutique-eft-s9/evidencias/s9/incidente-build-7.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presentación de PetBoutique EFT S9</dc:title>
  <dc:subject/>
  <dc:creator>Grupo 6</dc:creator>
  <cp:keywords/>
  <dc:description>generated by python-docx</dc:description>
  <cp:lastModifiedBy/>
  <cp:revision>1</cp:revision>
  <dcterms:created xsi:type="dcterms:W3CDTF">2013-12-23T23:15:00Z</dcterms:created>
  <dcterms:modified xsi:type="dcterms:W3CDTF">2013-12-23T23:15:00Z</dcterms:modified>
  <cp:category/>
</cp:coreProperties>
</file>