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eastAsia="Arial Unicode MS;Arial"/>
          <w:b/>
          <w:color w:val="000000"/>
        </w:rPr>
      </w:pPr>
      <w:r>
        <w:rPr/>
        <w:t>Ref No: {{refNo}}                                                                                                    {{proposalDate}}</w:t>
      </w:r>
    </w:p>
    <w:p>
      <w:pPr>
        <w:pStyle w:val="Normal"/>
        <w:rPr>
          <w:rFonts w:eastAsia="Arial Unicode MS;Arial"/>
          <w:b/>
          <w:color w:val="262626"/>
        </w:rPr>
      </w:pPr>
      <w:r>
        <w:rPr>
          <w:rFonts w:eastAsia="Arial Unicode MS;Arial"/>
          <w:b/>
          <w:color w:val="262626"/>
        </w:rPr>
      </w:r>
    </w:p>
    <w:p>
      <w:pPr>
        <w:pStyle w:val="Normal"/>
        <w:rPr>
          <w:color w:val="262626"/>
        </w:rPr>
      </w:pPr>
      <w:r>
        <w:rPr>
          <w:color w:val="262626"/>
        </w:rPr>
        <w:t>{{customerName}}</w:t>
      </w:r>
    </w:p>
    <w:p>
      <w:pPr>
        <w:pStyle w:val="Normal"/>
        <w:rPr>
          <w:color w:val="262626"/>
        </w:rPr>
      </w:pPr>
      <w:r>
        <w:rPr>
          <w:color w:val="262626"/>
        </w:rPr>
        <w:t>{{customerAddress}}</w:t>
      </w:r>
    </w:p>
    <w:p>
      <w:pPr>
        <w:pStyle w:val="Normal"/>
        <w:rPr>
          <w:color w:val="262626"/>
        </w:rPr>
      </w:pPr>
      <w:r>
        <w:rPr>
          <w:color w:val="262626"/>
        </w:rPr>
      </w:r>
    </w:p>
    <w:p>
      <w:pPr>
        <w:pStyle w:val="Heading3"/>
        <w:ind w:hanging="0" w:start="360" w:end="0"/>
        <w:jc w:val="center"/>
        <w:rPr/>
      </w:pPr>
      <w:r>
        <w:rPr>
          <w:lang w:val="en-US"/>
        </w:rPr>
        <w:t>Proposal for Fixed Assets Management Software</w:t>
      </w:r>
    </w:p>
    <w:p>
      <w:pPr>
        <w:pStyle w:val="Heading3"/>
        <w:ind w:hanging="0" w:start="360" w:end="0"/>
        <w:jc w:val="center"/>
        <w:rPr>
          <w:sz w:val="22"/>
        </w:rPr>
      </w:pPr>
      <w:r>
        <w:rPr>
          <w:sz w:val="22"/>
        </w:rPr>
      </w:r>
    </w:p>
    <w:p>
      <w:pPr>
        <w:pStyle w:val="NormalWeb"/>
        <w:spacing w:before="0" w:after="0"/>
        <w:rPr>
          <w:rFonts w:ascii="Calibri" w:hAnsi="Calibri" w:eastAsia="Calibri" w:cs="Calibri"/>
          <w:color w:val="262626"/>
          <w:sz w:val="23"/>
          <w:szCs w:val="23"/>
          <w:lang w:val="en-IN" w:eastAsia="en-IN"/>
        </w:rPr>
      </w:pPr>
      <w:r>
        <w:rPr>
          <w:rFonts w:eastAsia="Calibri" w:cs="Calibri" w:ascii="Calibri" w:hAnsi="Calibri"/>
          <w:color w:val="262626"/>
          <w:sz w:val="23"/>
          <w:szCs w:val="23"/>
          <w:lang w:val="en-IN" w:eastAsia="en-IN"/>
        </w:rPr>
        <w:t>Hi {{contactName}}</w:t>
      </w:r>
    </w:p>
    <w:p>
      <w:pPr>
        <w:pStyle w:val="NormalWeb"/>
        <w:spacing w:before="0" w:after="0"/>
        <w:rPr>
          <w:rFonts w:ascii="Calibri" w:hAnsi="Calibri" w:eastAsia="Calibri" w:cs="Calibri"/>
          <w:color w:val="262626"/>
          <w:sz w:val="23"/>
          <w:szCs w:val="23"/>
          <w:lang w:val="en-IN" w:eastAsia="en-IN"/>
        </w:rPr>
      </w:pPr>
      <w:r>
        <w:rPr>
          <w:rFonts w:eastAsia="Calibri" w:cs="Calibri" w:ascii="Calibri" w:hAnsi="Calibri"/>
          <w:color w:val="262626"/>
          <w:sz w:val="23"/>
          <w:szCs w:val="23"/>
          <w:lang w:val="en-IN" w:eastAsia="en-IN"/>
        </w:rPr>
      </w:r>
    </w:p>
    <w:p>
      <w:pPr>
        <w:pStyle w:val="Normal"/>
        <w:spacing w:before="0" w:after="220"/>
        <w:rPr>
          <w:color w:val="262626"/>
        </w:rPr>
      </w:pPr>
      <w:r>
        <w:rPr>
          <w:color w:val="262626"/>
        </w:rPr>
        <w:t>We thank you for the courtesy extended to us during the discussion on presentation of our fixed assets management software (Cloud Version).</w:t>
      </w:r>
    </w:p>
    <w:p>
      <w:pPr>
        <w:pStyle w:val="Normal"/>
        <w:spacing w:lineRule="auto" w:line="276" w:before="0" w:after="160"/>
        <w:rPr>
          <w:color w:val="262626"/>
        </w:rPr>
      </w:pPr>
      <w:r>
        <w:rPr>
          <w:color w:val="262626"/>
        </w:rPr>
        <w:t>You have indicated to us that you require Smart Assets – Fixed Assets Software – Cloud Version to manage your fixed assets.</w:t>
      </w:r>
    </w:p>
    <w:p>
      <w:pPr>
        <w:pStyle w:val="Normal"/>
        <w:spacing w:lineRule="auto" w:line="276" w:before="0" w:after="160"/>
        <w:rPr>
          <w:color w:val="262626"/>
        </w:rPr>
      </w:pPr>
      <w:r>
        <w:rPr>
          <w:color w:val="262626"/>
        </w:rPr>
        <w:t>We are confident that we have proposed the right solution for the Fixed Assets management needs of your organization.</w:t>
      </w:r>
    </w:p>
    <w:p>
      <w:pPr>
        <w:pStyle w:val="Normal"/>
        <w:rPr/>
      </w:pPr>
      <w:r>
        <w:rPr>
          <w:color w:val="262626"/>
        </w:rPr>
        <w:t>{{customerName}} being a valued organization, and based on our discussion with you, we are proposing a reasonable and competitive rate as per the commercials submitted below.</w:t>
      </w:r>
    </w:p>
    <w:p>
      <w:pPr>
        <w:pStyle w:val="Normal"/>
        <w:spacing w:lineRule="auto" w:line="276" w:before="0" w:after="160"/>
        <w:rPr/>
      </w:pPr>
      <w:r>
        <w:rPr>
          <w:color w:val="262626"/>
        </w:rPr>
        <w:t>As per your request, we are herewith attaching our proposal with the deliverables. It would be of mutual benefit if you could study the proposal in full, including the payment terms, and revert to us for a proposal walk-through, wherein we could deliberate on the deliverables and the benefits that would accrue to your organization, and finalize the project and proposal thereafter.</w:t>
      </w:r>
    </w:p>
    <w:p>
      <w:pPr>
        <w:pStyle w:val="Normal"/>
        <w:spacing w:lineRule="auto" w:line="276" w:before="0" w:after="160"/>
        <w:rPr>
          <w:color w:val="262626"/>
        </w:rPr>
      </w:pPr>
      <w:r>
        <w:rPr>
          <w:color w:val="262626"/>
        </w:rPr>
        <w:t>All the above products are standard software and cover generally accepted business practices. Hence, users should satisfy themselves about the usability before placing the order.</w:t>
      </w:r>
    </w:p>
    <w:p>
      <w:pPr>
        <w:pStyle w:val="Normal"/>
        <w:pBdr>
          <w:bottom w:val="single" w:sz="6" w:space="4" w:color="B08D57"/>
        </w:pBdr>
        <w:spacing w:before="280" w:after="140"/>
        <w:rPr>
          <w:b/>
          <w:bCs/>
          <w:color w:val="1F3864"/>
        </w:rPr>
      </w:pPr>
      <w:r>
        <w:rPr>
          <w:b/>
          <w:bCs/>
          <w:color w:val="1F3864"/>
        </w:rPr>
        <w:t>Modules &amp; Features — Smart Assets Pro</w:t>
      </w:r>
    </w:p>
    <w:p>
      <w:pPr>
        <w:pStyle w:val="Normal"/>
        <w:spacing w:before="200" w:after="100"/>
        <w:rPr>
          <w:b/>
          <w:bCs/>
          <w:color w:val="1F3864"/>
        </w:rPr>
      </w:pPr>
      <w:r>
        <w:rPr>
          <w:b/>
          <w:bCs/>
          <w:color w:val="1F3864"/>
        </w:rPr>
        <w:t>Cloud Smart Assets Pro</w:t>
      </w:r>
    </w:p>
    <w:p>
      <w:pPr>
        <w:pStyle w:val="Normal"/>
        <w:spacing w:before="0" w:after="140"/>
        <w:rPr/>
      </w:pPr>
      <w:r>
        <w:rPr>
          <w:b/>
          <w:bCs/>
          <w:i/>
          <w:iCs/>
          <w:color w:val="1F3864"/>
        </w:rPr>
        <w:t>Unlimited branches and multiple user access for a 1 legal entity/company.</w:t>
      </w:r>
    </w:p>
    <w:p>
      <w:pPr>
        <w:pStyle w:val="Normal"/>
        <w:spacing w:before="100" w:after="100"/>
        <w:rPr>
          <w:b/>
          <w:bCs/>
          <w:color w:val="1F3864"/>
          <w:u w:val="single"/>
        </w:rPr>
      </w:pPr>
      <w:r>
        <w:rPr>
          <w:b/>
          <w:bCs/>
          <w:color w:val="1F3864"/>
          <w:u w:val="single"/>
        </w:rPr>
        <w:t>Core Features:</w:t>
      </w:r>
    </w:p>
    <w:p>
      <w:pPr>
        <w:pStyle w:val="ListParagraph"/>
        <w:numPr>
          <w:ilvl w:val="0"/>
          <w:numId w:val="7"/>
        </w:numPr>
        <w:spacing w:before="0" w:after="80"/>
        <w:rPr/>
      </w:pPr>
      <w:r>
        <w:rPr>
          <w:color w:val="262626"/>
        </w:rPr>
        <w:t>Asset Tracking and QR Code Label Printing</w:t>
      </w:r>
    </w:p>
    <w:p>
      <w:pPr>
        <w:pStyle w:val="ListParagraph"/>
        <w:numPr>
          <w:ilvl w:val="0"/>
          <w:numId w:val="6"/>
        </w:numPr>
        <w:spacing w:before="0" w:after="80"/>
        <w:rPr/>
      </w:pPr>
      <w:r>
        <w:rPr>
          <w:color w:val="262626"/>
        </w:rPr>
        <w:t>Asset Transfer, Scrap and Disposal</w:t>
      </w:r>
    </w:p>
    <w:p>
      <w:pPr>
        <w:pStyle w:val="ListParagraph"/>
        <w:numPr>
          <w:ilvl w:val="0"/>
          <w:numId w:val="6"/>
        </w:numPr>
        <w:spacing w:before="0" w:after="80"/>
        <w:rPr/>
      </w:pPr>
      <w:r>
        <w:rPr>
          <w:color w:val="262626"/>
        </w:rPr>
        <w:t>Physical Verification with Employee Asset Verification through Email Workflow</w:t>
      </w:r>
    </w:p>
    <w:p>
      <w:pPr>
        <w:pStyle w:val="ListParagraph"/>
        <w:numPr>
          <w:ilvl w:val="0"/>
          <w:numId w:val="6"/>
        </w:numPr>
        <w:spacing w:before="0" w:after="80"/>
        <w:rPr/>
      </w:pPr>
      <w:r>
        <w:rPr>
          <w:color w:val="262626"/>
        </w:rPr>
        <w:t>100+ Types of Custom Reports</w:t>
      </w:r>
    </w:p>
    <w:p>
      <w:pPr>
        <w:pStyle w:val="ListParagraph"/>
        <w:spacing w:before="0" w:after="80"/>
        <w:rPr>
          <w:color w:val="262626"/>
        </w:rPr>
      </w:pPr>
      <w:r>
        <w:rPr>
          <w:color w:val="262626"/>
        </w:rPr>
      </w:r>
    </w:p>
    <w:p>
      <w:pPr>
        <w:pStyle w:val="ListParagraph"/>
        <w:spacing w:before="0" w:after="80"/>
        <w:rPr>
          <w:color w:val="262626"/>
        </w:rPr>
      </w:pPr>
      <w:r>
        <w:rPr>
          <w:color w:val="262626"/>
        </w:rPr>
      </w:r>
    </w:p>
    <w:p>
      <w:pPr>
        <w:pStyle w:val="Normal"/>
        <w:spacing w:before="160" w:after="100"/>
        <w:rPr>
          <w:b/>
          <w:bCs/>
          <w:color w:val="1F3864"/>
          <w:u w:val="single"/>
        </w:rPr>
      </w:pPr>
      <w:r>
        <w:rPr>
          <w:b/>
          <w:bCs/>
          <w:color w:val="1F3864"/>
          <w:u w:val="single"/>
        </w:rPr>
        <w:t>Advanced Features:</w:t>
      </w:r>
    </w:p>
    <w:p>
      <w:pPr>
        <w:pStyle w:val="ListParagraph"/>
        <w:numPr>
          <w:ilvl w:val="0"/>
          <w:numId w:val="5"/>
        </w:numPr>
        <w:spacing w:before="0" w:after="80"/>
        <w:rPr/>
      </w:pPr>
      <w:r>
        <w:rPr/>
        <w:t>Depreciation as per Companies Act and income Tax</w:t>
      </w:r>
    </w:p>
    <w:p>
      <w:pPr>
        <w:pStyle w:val="ListParagraph"/>
        <w:numPr>
          <w:ilvl w:val="0"/>
          <w:numId w:val="5"/>
        </w:numPr>
        <w:spacing w:before="0" w:after="80"/>
        <w:rPr/>
      </w:pPr>
      <w:r>
        <w:rPr>
          <w:color w:val="262626"/>
        </w:rPr>
        <w:t>Asset Purchase Invoice Entries</w:t>
      </w:r>
    </w:p>
    <w:p>
      <w:pPr>
        <w:pStyle w:val="ListParagraph"/>
        <w:numPr>
          <w:ilvl w:val="0"/>
          <w:numId w:val="5"/>
        </w:numPr>
        <w:spacing w:before="0" w:after="80"/>
        <w:rPr/>
      </w:pPr>
      <w:r>
        <w:rPr>
          <w:color w:val="262626"/>
        </w:rPr>
        <w:t>Asset Componentization</w:t>
      </w:r>
    </w:p>
    <w:p>
      <w:pPr>
        <w:pStyle w:val="Normal"/>
        <w:spacing w:before="200" w:after="100"/>
        <w:rPr>
          <w:b/>
          <w:bCs/>
          <w:color w:val="1F3864"/>
        </w:rPr>
      </w:pPr>
      <w:r>
        <w:rPr>
          <w:b/>
          <w:bCs/>
          <w:color w:val="1F3864"/>
        </w:rPr>
        <w:t>Platform / Subscription Scope</w:t>
      </w:r>
    </w:p>
    <w:p>
      <w:pPr>
        <w:pStyle w:val="ListParagraph"/>
        <w:numPr>
          <w:ilvl w:val="0"/>
          <w:numId w:val="5"/>
        </w:numPr>
        <w:spacing w:before="0" w:after="80"/>
        <w:rPr/>
      </w:pPr>
      <w:r>
        <w:rPr>
          <w:color w:val="262626"/>
        </w:rPr>
        <w:t>AWS Cloud (SaaS) version with 1-year annual subscription</w:t>
      </w:r>
    </w:p>
    <w:p>
      <w:pPr>
        <w:pStyle w:val="ListParagraph"/>
        <w:numPr>
          <w:ilvl w:val="0"/>
          <w:numId w:val="5"/>
        </w:numPr>
        <w:spacing w:before="0" w:after="80"/>
        <w:rPr/>
      </w:pPr>
      <w:r>
        <w:rPr>
          <w:color w:val="262626"/>
        </w:rPr>
        <w:t>This commercial is for {{customerName}}</w:t>
      </w:r>
    </w:p>
    <w:p>
      <w:pPr>
        <w:pStyle w:val="ListParagraph"/>
        <w:numPr>
          <w:ilvl w:val="0"/>
          <w:numId w:val="5"/>
        </w:numPr>
        <w:spacing w:before="0" w:after="80"/>
        <w:rPr/>
      </w:pPr>
      <w:r>
        <w:rPr>
          <w:color w:val="262626"/>
        </w:rPr>
        <w:t>Coverage for about {{assetCount}} assets across the entities; any excess above this will be charged extra</w:t>
      </w:r>
    </w:p>
    <w:p>
      <w:pPr>
        <w:pStyle w:val="ListParagraph"/>
        <w:numPr>
          <w:ilvl w:val="0"/>
          <w:numId w:val="5"/>
        </w:numPr>
        <w:spacing w:before="0" w:after="80"/>
        <w:rPr/>
      </w:pPr>
      <w:r>
        <w:rPr>
          <w:color w:val="262626"/>
        </w:rPr>
        <w:t>Unlimited users</w:t>
      </w:r>
    </w:p>
    <w:p>
      <w:pPr>
        <w:pStyle w:val="ListParagraph"/>
        <w:numPr>
          <w:ilvl w:val="0"/>
          <w:numId w:val="5"/>
        </w:numPr>
        <w:spacing w:before="0" w:after="80"/>
        <w:rPr/>
      </w:pPr>
      <w:r>
        <w:rPr>
          <w:color w:val="262626"/>
        </w:rPr>
        <w:t>Unlimited locations / branches</w:t>
      </w:r>
    </w:p>
    <w:p>
      <w:pPr>
        <w:pStyle w:val="ListParagraph"/>
        <w:numPr>
          <w:ilvl w:val="0"/>
          <w:numId w:val="5"/>
        </w:numPr>
        <w:spacing w:before="0" w:after="80"/>
        <w:rPr/>
      </w:pPr>
      <w:r>
        <w:rPr>
          <w:color w:val="262626"/>
        </w:rPr>
        <w:t>Browser-based login (login ID and password provided)</w:t>
      </w:r>
    </w:p>
    <w:p>
      <w:pPr>
        <w:pStyle w:val="Normal"/>
        <w:spacing w:before="120" w:after="100"/>
        <w:rPr/>
      </w:pPr>
      <w:r>
        <w:rPr>
          <w:b/>
          <w:bCs/>
          <w:color w:val="1F3864"/>
        </w:rPr>
        <w:t xml:space="preserve">Note: </w:t>
      </w:r>
      <w:r>
        <w:rPr>
          <w:i/>
          <w:iCs/>
          <w:color w:val="262626"/>
        </w:rPr>
        <w:t>Customization is not included in this commercial and will be quoted separately.</w:t>
      </w:r>
    </w:p>
    <w:p>
      <w:pPr>
        <w:pStyle w:val="Normal"/>
        <w:rPr/>
      </w:pPr>
      <w:r>
        <w:rPr>
          <w:i/>
          <w:iCs/>
          <w:color w:val="262626"/>
        </w:rPr>
        <w:t xml:space="preserve">In case </w:t>
      </w:r>
      <w:r>
        <w:rPr>
          <w:color w:val="262626"/>
        </w:rPr>
        <w:t xml:space="preserve">{{customerName}} </w:t>
      </w:r>
      <w:r>
        <w:rPr>
          <w:i/>
          <w:iCs/>
          <w:color w:val="262626"/>
        </w:rPr>
        <w:t>requires customization, commercials for the same will be submitted separately and will be charged extra.</w:t>
      </w:r>
    </w:p>
    <w:p>
      <w:pPr>
        <w:pStyle w:val="Normal"/>
        <w:spacing w:before="200" w:after="100"/>
        <w:rPr>
          <w:b/>
          <w:bCs/>
          <w:color w:val="1F3864"/>
        </w:rPr>
      </w:pPr>
      <w:r>
        <w:rPr>
          <w:b/>
          <w:bCs/>
          <w:color w:val="1F3864"/>
        </w:rPr>
        <w:t>Estimated Cost of the Project</w:t>
      </w:r>
    </w:p>
    <w:tbl>
      <w:tblPr>
        <w:tblW w:w="10343" w:type="dxa"/>
        <w:jc w:val="start"/>
        <w:tblInd w:w="0" w:type="dxa"/>
        <w:tblLayout w:type="fixed"/>
        <w:tblCellMar>
          <w:top w:w="100" w:type="dxa"/>
          <w:start w:w="120" w:type="dxa"/>
          <w:bottom w:w="100" w:type="dxa"/>
          <w:end w:w="120" w:type="dxa"/>
        </w:tblCellMar>
      </w:tblPr>
      <w:tblGrid>
        <w:gridCol w:w="5336"/>
        <w:gridCol w:w="3573"/>
        <w:gridCol w:w="1434"/>
      </w:tblGrid>
      <w:tr>
        <w:trPr>
          <w:tblHeader w:val="true"/>
          <w:trHeight w:val="492" w:hRule="atLeast"/>
        </w:trPr>
        <w:tc>
          <w:tcPr>
            <w:tcW w:w="5336"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b/>
                <w:bCs/>
                <w:color w:val="FFFFFF"/>
              </w:rPr>
            </w:pPr>
            <w:r>
              <w:rPr>
                <w:b/>
                <w:bCs/>
                <w:color w:val="FFFFFF"/>
              </w:rPr>
              <w:t>Details</w:t>
            </w:r>
          </w:p>
        </w:tc>
        <w:tc>
          <w:tcPr>
            <w:tcW w:w="3573"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b/>
                <w:bCs/>
                <w:color w:val="FFFFFF"/>
              </w:rPr>
            </w:pPr>
            <w:r>
              <w:rPr>
                <w:b/>
                <w:bCs/>
                <w:color w:val="FFFFFF"/>
              </w:rPr>
              <w:t>Scope</w:t>
            </w:r>
          </w:p>
        </w:tc>
        <w:tc>
          <w:tcPr>
            <w:tcW w:w="1434"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jc w:val="center"/>
              <w:rPr/>
            </w:pPr>
            <w:r>
              <w:rPr>
                <w:b/>
                <w:bCs/>
                <w:color w:val="FFFFFF"/>
              </w:rPr>
              <w:t>Cost in Rs.</w:t>
            </w:r>
          </w:p>
        </w:tc>
      </w:tr>
      <w:tr>
        <w:trPr>
          <w:trHeight w:val="340" w:hRule="atLeast"/>
        </w:trPr>
        <w:tc>
          <w:tcPr>
            <w:tcW w:w="5336"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color w:val="262626"/>
              </w:rPr>
              <w:t>{{costRows.details}}</w:t>
            </w:r>
          </w:p>
        </w:tc>
        <w:tc>
          <w:tcPr>
            <w:tcW w:w="3573"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color w:val="262626"/>
              </w:rPr>
            </w:pPr>
            <w:r>
              <w:rPr>
                <w:color w:val="262626"/>
              </w:rPr>
              <w:t>{{costRows.scope}}</w:t>
            </w:r>
          </w:p>
        </w:tc>
        <w:tc>
          <w:tcPr>
            <w:tcW w:w="1434"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spacing w:before="0" w:after="80"/>
              <w:jc w:val="center"/>
              <w:rPr>
                <w:b/>
                <w:bCs/>
                <w:color w:val="262626"/>
              </w:rPr>
            </w:pPr>
            <w:r>
              <w:rPr>
                <w:b/>
                <w:bCs/>
                <w:color w:val="262626"/>
              </w:rPr>
              <w:t>{{costRows.amount}}</w:t>
            </w:r>
          </w:p>
        </w:tc>
      </w:tr>
    </w:tbl>
    <w:p>
      <w:pPr>
        <w:pStyle w:val="Normal"/>
        <w:spacing w:before="140" w:after="260"/>
        <w:rPr>
          <w:i/>
          <w:i/>
          <w:iCs/>
          <w:color w:val="595959"/>
        </w:rPr>
      </w:pPr>
      <w:r>
        <w:rPr>
          <w:i/>
          <w:iCs/>
          <w:color w:val="595959"/>
        </w:rPr>
        <w:t>* GST as applicable at the time of billing ({{gstPercent}}%)</w:t>
      </w:r>
    </w:p>
    <w:p>
      <w:pPr>
        <w:pStyle w:val="Heading2"/>
        <w:spacing w:before="100" w:after="60"/>
        <w:ind w:hanging="0" w:start="0"/>
        <w:rPr/>
      </w:pPr>
      <w:r>
        <w:rPr/>
      </w:r>
    </w:p>
    <w:p>
      <w:pPr>
        <w:pStyle w:val="Heading2"/>
        <w:spacing w:before="100" w:after="60"/>
        <w:ind w:hanging="0" w:start="0"/>
        <w:rPr/>
      </w:pPr>
      <w:r>
        <w:rPr/>
      </w:r>
    </w:p>
    <w:p>
      <w:pPr>
        <w:pStyle w:val="Heading2"/>
        <w:spacing w:before="100" w:after="60"/>
        <w:ind w:hanging="0" w:start="0"/>
        <w:rPr/>
      </w:pPr>
      <w:r>
        <w:rPr/>
      </w:r>
    </w:p>
    <w:p>
      <w:pPr>
        <w:pStyle w:val="Heading2"/>
        <w:spacing w:before="100" w:after="60"/>
        <w:ind w:hanging="0" w:start="0"/>
        <w:rPr/>
      </w:pPr>
      <w:r>
        <w:rPr/>
      </w:r>
    </w:p>
    <w:p>
      <w:pPr>
        <w:pStyle w:val="Heading2"/>
        <w:spacing w:before="100" w:after="60"/>
        <w:ind w:hanging="0" w:start="0"/>
        <w:rPr/>
      </w:pPr>
      <w:r>
        <w:rPr/>
      </w:r>
    </w:p>
    <w:p>
      <w:pPr>
        <w:pStyle w:val="Normal"/>
        <w:pBdr>
          <w:bottom w:val="single" w:sz="6" w:space="4" w:color="B08D57"/>
        </w:pBdr>
        <w:spacing w:before="280" w:after="140"/>
        <w:rPr>
          <w:b/>
          <w:bCs/>
          <w:color w:val="1F3864"/>
        </w:rPr>
      </w:pPr>
      <w:r>
        <w:rPr>
          <w:b/>
          <w:bCs/>
          <w:color w:val="1F3864"/>
        </w:rPr>
        <w:t>Terms and Conditions — Software</w:t>
      </w:r>
    </w:p>
    <w:p>
      <w:pPr>
        <w:pStyle w:val="Normal"/>
        <w:spacing w:before="200" w:after="100"/>
        <w:rPr>
          <w:b/>
          <w:bCs/>
          <w:color w:val="1F3864"/>
        </w:rPr>
      </w:pPr>
      <w:r>
        <w:rPr>
          <w:b/>
          <w:bCs/>
          <w:color w:val="1F3864"/>
        </w:rPr>
        <w:t>Payment</w:t>
      </w:r>
    </w:p>
    <w:p>
      <w:pPr>
        <w:pStyle w:val="ListParagraph"/>
        <w:numPr>
          <w:ilvl w:val="0"/>
          <w:numId w:val="3"/>
        </w:numPr>
        <w:spacing w:before="0" w:after="80"/>
        <w:rPr/>
      </w:pPr>
      <w:r>
        <w:rPr>
          <w:color w:val="262626"/>
        </w:rPr>
        <w:t>{{advancePercentSoftware}}% advance along with purchase order for Smart Assets Software Cloud</w:t>
      </w:r>
    </w:p>
    <w:p>
      <w:pPr>
        <w:pStyle w:val="ListParagraph"/>
        <w:numPr>
          <w:ilvl w:val="0"/>
          <w:numId w:val="3"/>
        </w:numPr>
        <w:spacing w:before="0" w:after="80"/>
        <w:rPr/>
      </w:pPr>
      <w:r>
        <w:rPr>
          <w:color w:val="262626"/>
        </w:rPr>
        <w:t>Taxes: GST {{gstPercent}}% or As Applicable</w:t>
      </w:r>
    </w:p>
    <w:p>
      <w:pPr>
        <w:pStyle w:val="ListParagraph"/>
        <w:numPr>
          <w:ilvl w:val="0"/>
          <w:numId w:val="3"/>
        </w:numPr>
        <w:spacing w:before="0" w:after="80"/>
        <w:rPr/>
      </w:pPr>
      <w:r>
        <w:rPr>
          <w:color w:val="262626"/>
        </w:rPr>
        <w:t>Login: We will initiate and provide the login ID and password for your organization</w:t>
      </w:r>
    </w:p>
    <w:p>
      <w:pPr>
        <w:pStyle w:val="ListParagraph"/>
        <w:numPr>
          <w:ilvl w:val="0"/>
          <w:numId w:val="3"/>
        </w:numPr>
        <w:spacing w:before="0" w:after="80"/>
        <w:rPr/>
      </w:pPr>
      <w:r>
        <w:rPr>
          <w:color w:val="262626"/>
        </w:rPr>
        <w:t>Validity: This proposal is valid for a period of {{validityDays}} days from the date of submission by Levantare</w:t>
      </w:r>
    </w:p>
    <w:p>
      <w:pPr>
        <w:pStyle w:val="Normal"/>
        <w:spacing w:before="200" w:after="100"/>
        <w:rPr>
          <w:b/>
          <w:bCs/>
          <w:color w:val="1F3864"/>
        </w:rPr>
      </w:pPr>
      <w:r>
        <w:rPr>
          <w:b/>
          <w:bCs/>
          <w:color w:val="1F3864"/>
        </w:rPr>
        <w:t>Training</w:t>
      </w:r>
    </w:p>
    <w:p>
      <w:pPr>
        <w:pStyle w:val="ListParagraph"/>
        <w:numPr>
          <w:ilvl w:val="0"/>
          <w:numId w:val="4"/>
        </w:numPr>
        <w:spacing w:before="0" w:after="80"/>
        <w:rPr/>
      </w:pPr>
      <w:r>
        <w:rPr>
          <w:color w:val="262626"/>
        </w:rPr>
        <w:t>One free training session will be organized online; further additional training will be charged extra at Rs. 5000/- per day</w:t>
      </w:r>
    </w:p>
    <w:p>
      <w:pPr>
        <w:pStyle w:val="ListParagraph"/>
        <w:numPr>
          <w:ilvl w:val="0"/>
          <w:numId w:val="4"/>
        </w:numPr>
        <w:spacing w:before="0" w:after="80"/>
        <w:rPr/>
      </w:pPr>
      <w:r>
        <w:rPr>
          <w:color w:val="262626"/>
        </w:rPr>
        <w:t xml:space="preserve">One online training session will be conducted as part of the engagement. In the event onsite training is required, </w:t>
      </w:r>
      <w:r>
        <w:rPr/>
        <w:t>{{customerName}}</w:t>
      </w:r>
      <w:r>
        <w:rPr>
          <w:color w:val="262626"/>
        </w:rPr>
        <w:t xml:space="preserve"> shall arrange for travel, boarding, and lodging for our support team at sites other than Chennai during the training session. If these arrangements are not provided, additional charges will be applicable to cover the related expenses.</w:t>
      </w:r>
    </w:p>
    <w:p>
      <w:pPr>
        <w:pStyle w:val="Normal"/>
        <w:pBdr>
          <w:bottom w:val="single" w:sz="6" w:space="4" w:color="B08D57"/>
        </w:pBdr>
        <w:spacing w:before="280" w:after="140"/>
        <w:rPr>
          <w:b/>
          <w:bCs/>
          <w:color w:val="1F3864"/>
        </w:rPr>
      </w:pPr>
      <w:r>
        <w:rPr>
          <w:b/>
          <w:bCs/>
          <w:color w:val="1F3864"/>
        </w:rPr>
        <w:t>Security &amp; Compliance</w:t>
      </w:r>
    </w:p>
    <w:p>
      <w:pPr>
        <w:pStyle w:val="Normal"/>
        <w:spacing w:lineRule="auto" w:line="276" w:before="0" w:after="160"/>
        <w:rPr/>
      </w:pPr>
      <w:r>
        <w:rPr>
          <w:color w:val="262626"/>
        </w:rPr>
        <w:t>Security is foundational to the Smart Assets Pro platform. We treat the protection of your fixed-assets data and the confidentiality of your organization's information as a continuous commitment. The application is hosted on a secured AWS cloud environment with encryption of data both in transit and at rest, role-based access controls, and regular backups.</w:t>
      </w:r>
    </w:p>
    <w:p>
      <w:pPr>
        <w:pStyle w:val="Normal"/>
        <w:spacing w:before="200" w:after="100"/>
        <w:rPr/>
      </w:pPr>
      <w:r>
        <w:rPr>
          <w:b/>
          <w:bCs/>
          <w:color w:val="1F3864"/>
        </w:rPr>
        <w:t>VA/PT (Vulnerability Assessment &amp; Penetration Testing)</w:t>
      </w:r>
    </w:p>
    <w:p>
      <w:pPr>
        <w:pStyle w:val="Normal"/>
        <w:spacing w:lineRule="auto" w:line="276" w:before="0" w:after="160"/>
        <w:rPr>
          <w:color w:val="262626"/>
        </w:rPr>
      </w:pPr>
      <w:r>
        <w:rPr>
          <w:color w:val="262626"/>
        </w:rPr>
        <w:t>The Smart Assets Pro application is subjected to periodic Vulnerability Assessment and Penetration Testing (VA/PT) to identify and remediate potential security weaknesses before they can be exploited. The scope of the VA/PT exercise covers:</w:t>
      </w:r>
    </w:p>
    <w:p>
      <w:pPr>
        <w:pStyle w:val="ListParagraph"/>
        <w:numPr>
          <w:ilvl w:val="0"/>
          <w:numId w:val="2"/>
        </w:numPr>
        <w:spacing w:before="0" w:after="80"/>
        <w:rPr/>
      </w:pPr>
      <w:r>
        <w:rPr>
          <w:color w:val="262626"/>
        </w:rPr>
        <w:t>Application-layer testing against common web vulnerabilities (OWASP Top 10)</w:t>
      </w:r>
    </w:p>
    <w:p>
      <w:pPr>
        <w:pStyle w:val="ListParagraph"/>
        <w:numPr>
          <w:ilvl w:val="0"/>
          <w:numId w:val="2"/>
        </w:numPr>
        <w:spacing w:before="0" w:after="80"/>
        <w:rPr/>
      </w:pPr>
      <w:r>
        <w:rPr>
          <w:color w:val="262626"/>
        </w:rPr>
        <w:t>Authentication, session management and access-control validation</w:t>
      </w:r>
    </w:p>
    <w:p>
      <w:pPr>
        <w:pStyle w:val="ListParagraph"/>
        <w:numPr>
          <w:ilvl w:val="0"/>
          <w:numId w:val="2"/>
        </w:numPr>
        <w:spacing w:before="0" w:after="80"/>
        <w:rPr/>
      </w:pPr>
      <w:r>
        <w:rPr>
          <w:color w:val="262626"/>
        </w:rPr>
        <w:t>API and network/infrastructure security assessment</w:t>
      </w:r>
    </w:p>
    <w:p>
      <w:pPr>
        <w:pStyle w:val="ListParagraph"/>
        <w:numPr>
          <w:ilvl w:val="0"/>
          <w:numId w:val="2"/>
        </w:numPr>
        <w:spacing w:before="0" w:after="80"/>
        <w:rPr/>
      </w:pPr>
      <w:r>
        <w:rPr>
          <w:color w:val="262626"/>
        </w:rPr>
        <w:t>Review of data encryption in transit and at rest</w:t>
      </w:r>
    </w:p>
    <w:p>
      <w:pPr>
        <w:pStyle w:val="Normal"/>
        <w:spacing w:lineRule="auto" w:line="276" w:before="0" w:after="160"/>
        <w:rPr>
          <w:color w:val="262626"/>
        </w:rPr>
      </w:pPr>
      <w:r>
        <w:rPr>
          <w:color w:val="262626"/>
        </w:rPr>
        <w:t>Findings from each assessment are classified by severity (Critical, High, Medium and Low) and remediated within defined timelines, after which the application is re-tested to confirm closure. A summary VA/PT report can be shared with {{customerName}} on request, subject to a non-disclosure agreement.</w:t>
      </w:r>
    </w:p>
    <w:p>
      <w:pPr>
        <w:pStyle w:val="Normal"/>
        <w:pBdr>
          <w:bottom w:val="single" w:sz="6" w:space="4" w:color="B08D57"/>
        </w:pBdr>
        <w:spacing w:before="280" w:after="140"/>
        <w:rPr/>
      </w:pPr>
      <w:r>
        <w:rPr>
          <w:b/>
          <w:bCs/>
          <w:color w:val="1F3864"/>
        </w:rPr>
        <w:t>Our Requirement - We will submit the requirement list once we receive the purchase order</w:t>
      </w:r>
    </w:p>
    <w:p>
      <w:pPr>
        <w:pStyle w:val="Normal"/>
        <w:spacing w:before="320" w:after="20"/>
        <w:rPr>
          <w:color w:val="262626"/>
        </w:rPr>
      </w:pPr>
      <w:r>
        <w:rPr>
          <w:color w:val="262626"/>
        </w:rPr>
        <w:t>Thanking You,</w:t>
      </w:r>
    </w:p>
    <w:p>
      <w:pPr>
        <w:pStyle w:val="Normal"/>
        <w:spacing w:before="0" w:after="20"/>
        <w:rPr>
          <w:b/>
          <w:bCs/>
          <w:color w:val="1F3864"/>
        </w:rPr>
      </w:pPr>
      <w:r>
        <w:rPr>
          <w:b/>
          <w:bCs/>
          <w:color w:val="1F3864"/>
        </w:rPr>
        <w:t>For Levantare Technology Pvt Ltd</w:t>
      </w:r>
    </w:p>
    <w:p>
      <w:pPr>
        <w:pStyle w:val="Normal"/>
        <w:spacing w:before="0" w:after="20"/>
        <w:rPr>
          <w:color w:val="262626"/>
        </w:rPr>
      </w:pPr>
      <w:r>
        <w:rPr>
          <w:color w:val="262626"/>
        </w:rPr>
        <w:t>Mir Fazlee Ali</w:t>
      </w:r>
    </w:p>
    <w:sectPr>
      <w:headerReference w:type="default" r:id="rId2"/>
      <w:footerReference w:type="default" r:id="rId3"/>
      <w:type w:val="nextPage"/>
      <w:pgSz w:w="12240" w:h="15840"/>
      <w:pgMar w:left="1100" w:right="1100" w:gutter="0" w:header="708" w:top="1114"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Arial Unicode M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BFBFBF"/>
      </w:pBdr>
      <w:spacing w:before="60" w:after="0"/>
      <w:jc w:val="center"/>
      <w:rPr>
        <w:color w:val="595959"/>
      </w:rPr>
    </w:pPr>
    <w:r>
      <w:rPr>
        <w:color w:val="595959"/>
      </w:rPr>
      <w:t>New No. 103, 3rd Floor, Eldams Road, Teynampet, Chennai – 600018</w:t>
    </w:r>
  </w:p>
  <w:p>
    <w:pPr>
      <w:pStyle w:val="Normal"/>
      <w:jc w:val="center"/>
      <w:rPr>
        <w:i/>
        <w:i/>
        <w:iCs/>
        <w:color w:val="595959"/>
      </w:rPr>
    </w:pPr>
    <w:r>
      <w:rPr>
        <w:i/>
        <w:iCs/>
        <w:color w:val="595959"/>
      </w:rPr>
      <w:t>This document is strictly confidential and intended for the addressee only.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lang w:val="en-US" w:eastAsia="en-US"/>
      </w:rPr>
    </w:pPr>
    <w:r>
      <w:rPr>
        <w:lang w:val="en-US" w:eastAsia="en-US"/>
      </w:rPr>
      <mc:AlternateContent>
        <mc:Choice Requires="wpg">
          <w:drawing>
            <wp:anchor behindDoc="0" distT="0" distB="0" distL="114935" distR="114935" simplePos="0" locked="0" layoutInCell="0" allowOverlap="1" relativeHeight="7">
              <wp:simplePos x="0" y="0"/>
              <wp:positionH relativeFrom="page">
                <wp:posOffset>17780</wp:posOffset>
              </wp:positionH>
              <wp:positionV relativeFrom="page">
                <wp:posOffset>-30480</wp:posOffset>
              </wp:positionV>
              <wp:extent cx="383540" cy="890905"/>
              <wp:effectExtent l="0" t="635" r="635" b="0"/>
              <wp:wrapTopAndBottom/>
              <wp:docPr id="1" name="Group 2"/>
              <a:graphic xmlns:a="http://schemas.openxmlformats.org/drawingml/2006/main">
                <a:graphicData uri="http://schemas.microsoft.com/office/word/2010/wordprocessingGroup">
                  <wpg:wgp>
                    <wpg:cNvGrpSpPr/>
                    <wpg:grpSpPr>
                      <a:xfrm>
                        <a:off x="0" y="0"/>
                        <a:ext cx="383400" cy="891000"/>
                        <a:chOff x="0" y="0"/>
                        <a:chExt cx="383400" cy="891000"/>
                      </a:xfrm>
                    </wpg:grpSpPr>
                    <wps:wsp>
                      <wps:cNvPr id="2" name="Shape 8214"/>
                      <wps:cNvSpPr/>
                      <wps:spPr>
                        <a:xfrm>
                          <a:off x="0" y="0"/>
                          <a:ext cx="383400" cy="891000"/>
                        </a:xfrm>
                        <a:custGeom>
                          <a:avLst/>
                          <a:gdLst>
                            <a:gd name="textAreaLeft" fmla="*/ 0 w 217440"/>
                            <a:gd name="textAreaRight" fmla="*/ 218160 w 217440"/>
                            <a:gd name="textAreaTop" fmla="*/ 0 h 505080"/>
                            <a:gd name="textAreaBottom" fmla="*/ 505800 h 505080"/>
                          </a:gdLst>
                          <a:ahLst/>
                          <a:rect l="textAreaLeft" t="textAreaTop" r="textAreaRight" b="textAreaBottom"/>
                          <a:pathLst>
                            <a:path w="432816" h="975360">
                              <a:moveTo>
                                <a:pt x="0" y="0"/>
                              </a:moveTo>
                              <a:lnTo>
                                <a:pt x="432816" y="0"/>
                              </a:lnTo>
                              <a:lnTo>
                                <a:pt x="432816" y="975360"/>
                              </a:lnTo>
                              <a:lnTo>
                                <a:pt x="0" y="975360"/>
                              </a:lnTo>
                              <a:lnTo>
                                <a:pt x="0" y="0"/>
                              </a:lnTo>
                            </a:path>
                          </a:pathLst>
                        </a:custGeom>
                        <a:solidFill>
                          <a:srgbClr val="4f81bd"/>
                        </a:solidFill>
                        <a:ln w="0">
                          <a:noFill/>
                        </a:ln>
                      </wps:spPr>
                      <wps:style>
                        <a:lnRef idx="0"/>
                        <a:fillRef idx="0"/>
                        <a:effectRef idx="0"/>
                        <a:fontRef idx="minor"/>
                      </wps:style>
                      <wps:bodyPr/>
                    </wps:wsp>
                  </wpg:wgp>
                </a:graphicData>
              </a:graphic>
            </wp:anchor>
          </w:drawing>
        </mc:Choice>
        <mc:Fallback>
          <w:pict>
            <v:group id="shape_0" alt="Group 2" style="position:absolute;margin-left:1.4pt;margin-top:-2.4pt;width:30.2pt;height:70.15pt" coordorigin="28,-48" coordsize="604,1403">
              <v:shape id="shape_0" ID="Shape 8214" coordsize="432816,975360" path="m0,0l432816,0l432816,975360l0,975360l0,0e" fillcolor="#4f81bd" stroked="f" o:allowincell="f" style="position:absolute;left:28;top:-48;width:603;height:1402;mso-wrap-style:none;v-text-anchor:middle;mso-position-horizontal-relative:page;mso-position-vertical-relative:page">
                <v:fill o:detectmouseclick="t" type="solid" color2="#b07e42"/>
                <v:stroke color="#3465a4" joinstyle="round" endcap="flat"/>
                <w10:wrap type="topAndBottom"/>
              </v:shape>
            </v:group>
          </w:pict>
        </mc:Fallback>
      </mc:AlternateContent>
      <w:drawing>
        <wp:inline distT="0" distB="0" distL="0" distR="0">
          <wp:extent cx="1508760" cy="448945"/>
          <wp:effectExtent l="0" t="0" r="0" b="0"/>
          <wp:docPr id="3"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title=""/>
                  <pic:cNvPicPr>
                    <a:picLocks noChangeAspect="1" noChangeArrowheads="1"/>
                  </pic:cNvPicPr>
                </pic:nvPicPr>
                <pic:blipFill>
                  <a:blip r:embed="rId1"/>
                  <a:srcRect l="-9" t="-29" r="-9" b="-29"/>
                  <a:stretch>
                    <a:fillRect/>
                  </a:stretch>
                </pic:blipFill>
                <pic:spPr bwMode="auto">
                  <a:xfrm>
                    <a:off x="0" y="0"/>
                    <a:ext cx="1508760" cy="4489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60" w:hanging="260"/>
      </w:pPr>
    </w:lvl>
  </w:abstractNum>
  <w:abstractNum w:abstractNumId="3">
    <w:lvl w:ilvl="0">
      <w:start w:val="1"/>
      <w:numFmt w:val="decimal"/>
      <w:lvlText w:val="%1."/>
      <w:lvlJc w:val="start"/>
      <w:pPr>
        <w:tabs>
          <w:tab w:val="num" w:pos="0"/>
        </w:tabs>
        <w:ind w:start="460" w:hanging="260"/>
      </w:pPr>
    </w:lvl>
  </w:abstractNum>
  <w:abstractNum w:abstractNumId="4">
    <w:lvl w:ilvl="0">
      <w:start w:val="1"/>
      <w:numFmt w:val="decimal"/>
      <w:lvlText w:val="%1."/>
      <w:lvlJc w:val="start"/>
      <w:pPr>
        <w:tabs>
          <w:tab w:val="num" w:pos="0"/>
        </w:tabs>
        <w:ind w:start="460" w:hanging="260"/>
      </w:pPr>
    </w:lvl>
  </w:abstractNum>
  <w:abstractNum w:abstractNumId="5">
    <w:lvl w:ilvl="0">
      <w:start w:val="1"/>
      <w:numFmt w:val="decimal"/>
      <w:lvlText w:val="%1."/>
      <w:lvlJc w:val="start"/>
      <w:pPr>
        <w:tabs>
          <w:tab w:val="num" w:pos="0"/>
        </w:tabs>
        <w:ind w:start="460" w:hanging="260"/>
      </w:pPr>
    </w:lvl>
  </w:abstractNum>
  <w:abstractNum w:abstractNumId="6">
    <w:lvl w:ilvl="0">
      <w:start w:val="1"/>
      <w:numFmt w:val="decimal"/>
      <w:lvlText w:val="%1."/>
      <w:lvlJc w:val="start"/>
      <w:pPr>
        <w:tabs>
          <w:tab w:val="num" w:pos="0"/>
        </w:tabs>
        <w:ind w:start="460" w:hanging="2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Calibri"/>
      <w:color w:val="auto"/>
      <w:sz w:val="23"/>
      <w:szCs w:val="23"/>
      <w:lang w:val="en-IN" w:bidi="ar-SA" w:eastAsia="zh-CN"/>
    </w:rPr>
  </w:style>
  <w:style w:type="paragraph" w:styleId="Heading1">
    <w:name w:val="Heading 1"/>
    <w:next w:val="BodyText"/>
    <w:qFormat/>
    <w:pPr>
      <w:widowControl/>
      <w:numPr>
        <w:ilvl w:val="0"/>
        <w:numId w:val="1"/>
      </w:numPr>
      <w:bidi w:val="0"/>
      <w:outlineLvl w:val="0"/>
    </w:pPr>
    <w:rPr>
      <w:rFonts w:ascii="Calibri" w:hAnsi="Calibri" w:eastAsia="Calibri" w:cs="Calibri"/>
      <w:color w:val="2E74B5"/>
      <w:sz w:val="32"/>
      <w:szCs w:val="32"/>
      <w:lang w:val="en-IN" w:bidi="ar-SA" w:eastAsia="zh-CN"/>
    </w:rPr>
  </w:style>
  <w:style w:type="paragraph" w:styleId="Heading2">
    <w:name w:val="Heading 2"/>
    <w:next w:val="BodyText"/>
    <w:qFormat/>
    <w:pPr>
      <w:widowControl/>
      <w:numPr>
        <w:ilvl w:val="1"/>
        <w:numId w:val="1"/>
      </w:numPr>
      <w:bidi w:val="0"/>
      <w:outlineLvl w:val="1"/>
    </w:pPr>
    <w:rPr>
      <w:rFonts w:ascii="Calibri" w:hAnsi="Calibri" w:eastAsia="Calibri" w:cs="Calibri"/>
      <w:color w:val="2E74B5"/>
      <w:sz w:val="26"/>
      <w:szCs w:val="26"/>
      <w:lang w:val="en-IN" w:bidi="ar-SA" w:eastAsia="zh-CN"/>
    </w:rPr>
  </w:style>
  <w:style w:type="paragraph" w:styleId="Heading3">
    <w:name w:val="Heading 3"/>
    <w:next w:val="BodyText"/>
    <w:qFormat/>
    <w:pPr>
      <w:widowControl/>
      <w:numPr>
        <w:ilvl w:val="2"/>
        <w:numId w:val="1"/>
      </w:numPr>
      <w:bidi w:val="0"/>
      <w:outlineLvl w:val="2"/>
    </w:pPr>
    <w:rPr>
      <w:rFonts w:ascii="Calibri" w:hAnsi="Calibri" w:eastAsia="Calibri" w:cs="Calibri"/>
      <w:color w:val="1F4D78"/>
      <w:sz w:val="24"/>
      <w:szCs w:val="24"/>
      <w:lang w:val="en-IN" w:bidi="ar-SA" w:eastAsia="zh-CN"/>
    </w:rPr>
  </w:style>
  <w:style w:type="paragraph" w:styleId="Heading4">
    <w:name w:val="Heading 4"/>
    <w:next w:val="BodyText"/>
    <w:qFormat/>
    <w:pPr>
      <w:widowControl/>
      <w:numPr>
        <w:ilvl w:val="3"/>
        <w:numId w:val="1"/>
      </w:numPr>
      <w:bidi w:val="0"/>
      <w:outlineLvl w:val="3"/>
    </w:pPr>
    <w:rPr>
      <w:rFonts w:ascii="Calibri" w:hAnsi="Calibri" w:eastAsia="Calibri" w:cs="Calibri"/>
      <w:i/>
      <w:iCs/>
      <w:color w:val="2E74B5"/>
      <w:sz w:val="23"/>
      <w:szCs w:val="23"/>
      <w:lang w:val="en-IN" w:bidi="ar-SA" w:eastAsia="zh-CN"/>
    </w:rPr>
  </w:style>
  <w:style w:type="paragraph" w:styleId="Heading5">
    <w:name w:val="Heading 5"/>
    <w:next w:val="BodyText"/>
    <w:qFormat/>
    <w:pPr>
      <w:widowControl/>
      <w:numPr>
        <w:ilvl w:val="4"/>
        <w:numId w:val="1"/>
      </w:numPr>
      <w:bidi w:val="0"/>
      <w:outlineLvl w:val="4"/>
    </w:pPr>
    <w:rPr>
      <w:rFonts w:ascii="Calibri" w:hAnsi="Calibri" w:eastAsia="Calibri" w:cs="Calibri"/>
      <w:color w:val="2E74B5"/>
      <w:sz w:val="23"/>
      <w:szCs w:val="23"/>
      <w:lang w:val="en-IN" w:bidi="ar-SA" w:eastAsia="zh-CN"/>
    </w:rPr>
  </w:style>
  <w:style w:type="paragraph" w:styleId="Heading6">
    <w:name w:val="Heading 6"/>
    <w:next w:val="BodyText"/>
    <w:qFormat/>
    <w:pPr>
      <w:widowControl/>
      <w:numPr>
        <w:ilvl w:val="5"/>
        <w:numId w:val="1"/>
      </w:numPr>
      <w:bidi w:val="0"/>
      <w:outlineLvl w:val="5"/>
    </w:pPr>
    <w:rPr>
      <w:rFonts w:ascii="Calibri" w:hAnsi="Calibri" w:eastAsia="Calibri" w:cs="Calibri"/>
      <w:color w:val="1F4D78"/>
      <w:sz w:val="23"/>
      <w:szCs w:val="23"/>
      <w:lang w:val="en-IN" w:bidi="ar-SA" w:eastAsia="zh-CN"/>
    </w:rPr>
  </w:style>
  <w:style w:type="character" w:styleId="DefaultParagraphFont">
    <w:name w:val="Default Paragraph Font"/>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TextChar">
    <w:name w:val="Footnote Text Char"/>
    <w:qFormat/>
    <w:rPr>
      <w:sz w:val="20"/>
      <w:szCs w:val="20"/>
    </w:rPr>
  </w:style>
  <w:style w:type="character" w:styleId="EndnoteCharacters">
    <w:name w:val="Endnote Characters"/>
    <w:qFormat/>
    <w:rPr>
      <w:vertAlign w:val="superscript"/>
    </w:rPr>
  </w:style>
  <w:style w:type="character" w:styleId="EndnoteTextChar">
    <w:name w:val="Endnote Text Char"/>
    <w:qFormat/>
    <w:rPr>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UnresolvedMention">
    <w:name w:val="Unresolved Mention"/>
    <w:qFormat/>
    <w:rPr>
      <w:color w:val="605E5C"/>
      <w:shd w:fill="E1DFDD" w:val="clear"/>
    </w:rPr>
  </w:style>
  <w:style w:type="paragraph" w:styleId="Heading">
    <w:name w:val="Heading"/>
    <w:next w:val="BodyText"/>
    <w:qFormat/>
    <w:pPr>
      <w:widowControl/>
      <w:bidi w:val="0"/>
    </w:pPr>
    <w:rPr>
      <w:rFonts w:ascii="Calibri" w:hAnsi="Calibri" w:eastAsia="Calibri" w:cs="Calibri"/>
      <w:color w:val="auto"/>
      <w:sz w:val="56"/>
      <w:szCs w:val="56"/>
      <w:lang w:val="en-IN" w:bidi="ar-SA" w:eastAsia="zh-CN"/>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rong1">
    <w:name w:val="Strong1"/>
    <w:qFormat/>
    <w:pPr>
      <w:widowControl/>
      <w:bidi w:val="0"/>
    </w:pPr>
    <w:rPr>
      <w:rFonts w:ascii="Calibri" w:hAnsi="Calibri" w:eastAsia="Calibri" w:cs="Calibri"/>
      <w:b/>
      <w:bCs/>
      <w:color w:val="auto"/>
      <w:sz w:val="23"/>
      <w:szCs w:val="23"/>
      <w:lang w:val="en-IN" w:bidi="ar-SA" w:eastAsia="zh-CN"/>
    </w:rPr>
  </w:style>
  <w:style w:type="paragraph" w:styleId="ListParagraph">
    <w:name w:val="List Paragraph"/>
    <w:qFormat/>
    <w:pPr>
      <w:widowControl/>
      <w:bidi w:val="0"/>
    </w:pPr>
    <w:rPr>
      <w:rFonts w:ascii="Calibri" w:hAnsi="Calibri" w:eastAsia="Calibri" w:cs="Calibri"/>
      <w:color w:val="auto"/>
      <w:sz w:val="23"/>
      <w:szCs w:val="23"/>
      <w:lang w:val="en-IN" w:bidi="ar-SA" w:eastAsia="zh-CN"/>
    </w:rPr>
  </w:style>
  <w:style w:type="paragraph" w:styleId="FootnoteText">
    <w:name w:val="Footnote Text"/>
    <w:pPr>
      <w:widowControl/>
      <w:bidi w:val="0"/>
    </w:pPr>
    <w:rPr>
      <w:rFonts w:ascii="Calibri" w:hAnsi="Calibri" w:eastAsia="Calibri" w:cs="Calibri"/>
      <w:color w:val="auto"/>
      <w:sz w:val="20"/>
      <w:szCs w:val="20"/>
      <w:lang w:val="en-IN" w:bidi="ar-SA" w:eastAsia="zh-CN"/>
    </w:rPr>
  </w:style>
  <w:style w:type="paragraph" w:styleId="EndnoteText">
    <w:name w:val="Endnote Text"/>
    <w:pPr>
      <w:widowControl/>
      <w:bidi w:val="0"/>
    </w:pPr>
    <w:rPr>
      <w:rFonts w:ascii="Calibri" w:hAnsi="Calibri" w:eastAsia="Calibri" w:cs="Calibri"/>
      <w:color w:val="auto"/>
      <w:sz w:val="20"/>
      <w:szCs w:val="20"/>
      <w:lang w:val="en-IN"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NormalWeb">
    <w:name w:val="Normal (Web)"/>
    <w:basedOn w:val="Normal"/>
    <w:qFormat/>
    <w:pPr>
      <w:spacing w:before="280" w:after="280"/>
    </w:pPr>
    <w:rPr>
      <w:rFonts w:ascii="Arial Unicode MS;Arial" w:hAnsi="Arial Unicode MS;Arial" w:eastAsia="Arial Unicode MS;Arial" w:cs="Arial Unicode MS;Arial"/>
      <w:color w:val="000000"/>
      <w:sz w:val="24"/>
      <w:szCs w:val="24"/>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2026-09-30T07:19:00Z</dcterms:created>
  <dc:creator>Un-named</dc:creator>
  <dc:description/>
  <cp:keywords/>
  <dc:language>en-US</dc:language>
  <cp:lastModifiedBy>Mir Fazlee Ali</cp:lastModifiedBy>
  <cp:lastPrinted>2026-09-22T15:30:00Z</cp:lastPrinted>
  <dcterms:modified xsi:type="dcterms:W3CDTF">2026-09-30T07:23:00Z</dcterms:modified>
  <cp:revision>4</cp:revision>
  <dc:subject/>
  <dc:title/>
</cp:coreProperties>
</file>