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2E4057"/>
          <w:sz w:val="56"/>
          <w:szCs w:val="56"/>
        </w:rPr>
        <w:t xml:space="preserve">SMM Prediction Pipeline</w:t>
      </w:r>
    </w:p>
    <w:p>
      <w:pPr>
        <w:spacing w:after="200"/>
        <w:jc w:val="center"/>
      </w:pPr>
      <w:r>
        <w:rPr>
          <w:rFonts w:ascii="Arial" w:cs="Arial" w:eastAsia="Arial" w:hAnsi="Arial"/>
          <w:color w:val="4A7B9D"/>
          <w:sz w:val="36"/>
          <w:szCs w:val="36"/>
        </w:rPr>
        <w:t xml:space="preserve">Code Book &amp; Script Summary</w:t>
      </w:r>
    </w:p>
    <w:p>
      <w:pPr>
        <w:spacing w:after="120"/>
        <w:jc w:val="center"/>
      </w:pPr>
      <w:r>
        <w:rPr>
          <w:rFonts w:ascii="Arial" w:cs="Arial" w:eastAsia="Arial" w:hAnsi="Arial"/>
          <w:i/>
          <w:iCs/>
          <w:color w:val="666666"/>
          <w:sz w:val="24"/>
          <w:szCs w:val="24"/>
        </w:rPr>
        <w:t xml:space="preserve">nuMoM2b Dataset  |  Severe Maternal Morbidity (SMM) Prediction Study</w:t>
      </w:r>
    </w:p>
    <w:p>
      <w:pPr>
        <w:spacing w:after="80"/>
        <w:jc w:val="center"/>
      </w:pPr>
      <w:r>
        <w:rPr>
          <w:rFonts w:ascii="Arial" w:cs="Arial" w:eastAsia="Arial" w:hAnsi="Arial"/>
          <w:color w:val="888888"/>
          <w:sz w:val="22"/>
          <w:szCs w:val="22"/>
        </w:rPr>
        <w:t xml:space="preserve">Author: Conglin (Richard) Bao  |  Emory University MSPH Biostatistics</w:t>
      </w:r>
    </w:p>
    <w:p>
      <w:pPr>
        <w:jc w:val="center"/>
      </w:pPr>
      <w:r>
        <w:rPr>
          <w:rFonts w:ascii="Arial" w:cs="Arial" w:eastAsia="Arial" w:hAnsi="Arial"/>
          <w:color w:val="888888"/>
          <w:sz w:val="22"/>
          <w:szCs w:val="22"/>
        </w:rPr>
        <w:t xml:space="preserve">Pipeline version: s1 → s2 → s3 → s4 (v1–v4) → s5</w:t>
      </w:r>
    </w:p>
    <w:p>
      <w:pPr>
        <w:pBdr>
          <w:bottom w:val="single" w:color="2E4057" w:sz="4" w:space="1"/>
        </w:pBdr>
        <w:spacing w:after="200" w:before="200"/>
      </w:pPr>
    </w:p>
    <w:p>
      <w:pPr>
        <w:pStyle w:val="Heading1"/>
      </w:pPr>
      <w:r>
        <w:rPr>
          <w:rFonts w:ascii="Arial" w:cs="Arial" w:eastAsia="Arial" w:hAnsi="Arial"/>
          <w:b/>
          <w:bCs/>
          <w:sz w:val="32"/>
          <w:szCs w:val="32"/>
        </w:rPr>
        <w:t xml:space="preserve">1. Pipeline Overview</w:t>
      </w:r>
    </w:p>
    <w:p>
      <w:pPr>
        <w:spacing w:after="80"/>
      </w:pPr>
      <w:r>
        <w:rPr>
          <w:rFonts w:ascii="Arial" w:cs="Arial" w:eastAsia="Arial" w:hAnsi="Arial"/>
          <w:sz w:val="22"/>
          <w:szCs w:val="22"/>
        </w:rPr>
        <w:t xml:space="preserve">This code book documents five sequential analysis scripts (s1–s5) that constitute the full preprocessing, feature engineering, SMM outcome construction, and machine learning modeling pipeline for the nuMoM2b Severe Maternal Morbidity (SMM) prediction study. The pipeline proceeds from raw data ingestion through to a Table 1 descriptive summary and trained classifier outputs.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Study dataset</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nuMoM2b_Merged_Dataset.csv (full merged dataset)</w:t>
            </w:r>
          </w:p>
        </w:tc>
      </w:tr>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Outcome</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Severe Maternal Morbidity (SMM), binary 0/1</w:t>
            </w:r>
          </w:p>
        </w:tc>
      </w:tr>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Primary language</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R (s1, s2, s3, s5)  |  Python (s4)</w:t>
            </w:r>
          </w:p>
        </w:tc>
      </w:tr>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Random seed</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42 (all Python models)</w:t>
            </w:r>
          </w:p>
        </w:tc>
      </w:tr>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Train / Test split</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80 / 20 stratified by SMM</w:t>
            </w:r>
          </w:p>
        </w:tc>
      </w:tr>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Collaborators</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Sheena Warner, Rameshbabu Manyam (nuMoM2b team)</w:t>
            </w:r>
          </w:p>
        </w:tc>
      </w:tr>
    </w:tbl>
    <w:p>
      <w:pPr>
        <w:spacing w:after="60"/>
      </w:pPr>
      <w:r>
        <w:t xml:space="preserve"/>
      </w:r>
    </w:p>
    <w:p>
      <w:pPr>
        <w:spacing w:after="80"/>
      </w:pPr>
      <w:r>
        <w:rPr>
          <w:rFonts w:ascii="Arial" w:cs="Arial" w:eastAsia="Arial" w:hAnsi="Arial"/>
          <w:sz w:val="22"/>
          <w:szCs w:val="22"/>
        </w:rPr>
        <w:t xml:space="preserve">Scripts run in order: s1 selects and engineers blue (predictor) variables; s2 selects pink (outcome-relevant) variables; s3 constructs the SMM column and merges it with blue predictors; s4 trains and evaluates ML classifiers; s5 produces Table 1 descriptive statistics.</w:t>
      </w:r>
    </w:p>
    <w:p>
      <w:pPr>
        <w:pBdr>
          <w:bottom w:val="single" w:color="2E4057" w:sz="4" w:space="1"/>
        </w:pBdr>
        <w:spacing w:after="200" w:before="200"/>
      </w:pPr>
    </w:p>
    <w:p>
      <w:pPr>
        <w:pStyle w:val="Heading1"/>
      </w:pPr>
      <w:r>
        <w:rPr>
          <w:rFonts w:ascii="Arial" w:cs="Arial" w:eastAsia="Arial" w:hAnsi="Arial"/>
          <w:b/>
          <w:bCs/>
          <w:sz w:val="32"/>
          <w:szCs w:val="32"/>
        </w:rPr>
        <w:t xml:space="preserve">2. s1 — Selecting Blue Variables (63 Variables)</w:t>
      </w:r>
    </w:p>
    <w:p>
      <w:pPr>
        <w:spacing w:after="80"/>
      </w:pPr>
      <w:r>
        <w:rPr>
          <w:rFonts w:ascii="Arial" w:cs="Arial" w:eastAsia="Arial" w:hAnsi="Arial"/>
          <w:i/>
          <w:iCs/>
          <w:sz w:val="22"/>
          <w:szCs w:val="22"/>
        </w:rPr>
        <w:t xml:space="preserve">File: s1_selecting_blue_variables_63_checking_variables.Rmd</w:t>
      </w:r>
    </w:p>
    <w:p>
      <w:pPr>
        <w:spacing w:after="80"/>
      </w:pPr>
      <w:r>
        <w:rPr>
          <w:rFonts w:ascii="Arial" w:cs="Arial" w:eastAsia="Arial" w:hAnsi="Arial"/>
          <w:sz w:val="22"/>
          <w:szCs w:val="22"/>
        </w:rPr>
        <w:t xml:space="preserve">Language: R  |  Output directory: outputs/s1/</w:t>
      </w:r>
    </w:p>
    <w:p>
      <w:pPr>
        <w:spacing w:after="60"/>
      </w:pPr>
      <w:r>
        <w:t xml:space="preserve"/>
      </w:r>
    </w:p>
    <w:p>
      <w:pPr>
        <w:pStyle w:val="Heading2"/>
      </w:pPr>
      <w:r>
        <w:rPr>
          <w:rFonts w:ascii="Arial" w:cs="Arial" w:eastAsia="Arial" w:hAnsi="Arial"/>
          <w:b/>
          <w:bCs/>
          <w:sz w:val="26"/>
          <w:szCs w:val="26"/>
        </w:rPr>
        <w:t xml:space="preserve">2.1 Purpose</w:t>
      </w:r>
    </w:p>
    <w:p>
      <w:pPr>
        <w:spacing w:after="80"/>
      </w:pPr>
      <w:r>
        <w:rPr>
          <w:rFonts w:ascii="Arial" w:cs="Arial" w:eastAsia="Arial" w:hAnsi="Arial"/>
          <w:sz w:val="22"/>
          <w:szCs w:val="22"/>
        </w:rPr>
        <w:t xml:space="preserve">Selects 63 predictor (blue) variables from the raw nuMoM2b merged dataset, performs quality checks, engineering, and encoding to produce a clean 35-column predictor dataset ready for imputation and modeling.</w:t>
      </w:r>
    </w:p>
    <w:p>
      <w:pPr>
        <w:spacing w:after="60"/>
      </w:pPr>
      <w:r>
        <w:t xml:space="preserve"/>
      </w:r>
    </w:p>
    <w:p>
      <w:pPr>
        <w:pStyle w:val="Heading2"/>
      </w:pPr>
      <w:r>
        <w:rPr>
          <w:rFonts w:ascii="Arial" w:cs="Arial" w:eastAsia="Arial" w:hAnsi="Arial"/>
          <w:b/>
          <w:bCs/>
          <w:sz w:val="26"/>
          <w:szCs w:val="26"/>
        </w:rPr>
        <w:t xml:space="preserve">2.2 Processing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c>
          <w:tcPr>
            <w:tcW w:type="dxa" w:w="72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80"/>
            </w:tcMar>
          </w:tcPr>
          <w:p>
            <w:r>
              <w:rPr>
                <w:rFonts w:ascii="Arial" w:cs="Arial" w:eastAsia="Arial" w:hAnsi="Arial"/>
                <w:b/>
                <w:bCs/>
                <w:color w:val="FFFFFF"/>
                <w:sz w:val="20"/>
                <w:szCs w:val="20"/>
              </w:rPr>
              <w:t xml:space="preserve">Step</w:t>
            </w:r>
          </w:p>
        </w:tc>
        <w:tc>
          <w:tcPr>
            <w:tcW w:type="dxa" w:w="21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80"/>
            </w:tcMar>
          </w:tcPr>
          <w:p>
            <w:r>
              <w:rPr>
                <w:rFonts w:ascii="Arial" w:cs="Arial" w:eastAsia="Arial" w:hAnsi="Arial"/>
                <w:b/>
                <w:bCs/>
                <w:color w:val="FFFFFF"/>
                <w:sz w:val="20"/>
                <w:szCs w:val="20"/>
              </w:rPr>
              <w:t xml:space="preserve">Title</w:t>
            </w:r>
          </w:p>
        </w:tc>
        <w:tc>
          <w:tcPr>
            <w:tcW w:type="dxa" w:w="648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r>
      <w:tr>
        <w:tc>
          <w:tcPr>
            <w:tcW w:type="dxa" w:w="7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sz w:val="20"/>
                <w:szCs w:val="20"/>
              </w:rPr>
              <w:t xml:space="preserve">1</w:t>
            </w:r>
          </w:p>
        </w:tc>
        <w:tc>
          <w:tcPr>
            <w:tcW w:type="dxa" w:w="2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b/>
                <w:bCs/>
                <w:sz w:val="20"/>
                <w:szCs w:val="20"/>
              </w:rPr>
              <w:t xml:space="preserve">Define 63 blue variables</w:t>
            </w:r>
          </w:p>
        </w:tc>
        <w:tc>
          <w:tcPr>
            <w:tcW w:type="dxa" w:w="64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sz w:val="20"/>
                <w:szCs w:val="20"/>
              </w:rPr>
              <w:t xml:space="preserve">Hardcoded list of 63 variable names covering demographics, insurance, chronic conditions, pregnancy labs, visit variables, and outcome/follow-up indicators. PublicID is the ID column.</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2</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b/>
                <w:bCs/>
                <w:sz w:val="20"/>
                <w:szCs w:val="20"/>
              </w:rPr>
              <w:t xml:space="preserve">Check existence and load</w:t>
            </w:r>
          </w:p>
        </w:tc>
        <w:tc>
          <w:tcPr>
            <w:tcW w:type="dxa" w:w="6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Column names from raw CSV are read first (n_max=0). Missing column names are logged; only present columns are loaded. Dataset dimensions are confirmed.</w:t>
            </w:r>
          </w:p>
        </w:tc>
      </w:tr>
      <w:tr>
        <w:tc>
          <w:tcPr>
            <w:tcW w:type="dxa" w:w="7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sz w:val="20"/>
                <w:szCs w:val="20"/>
              </w:rPr>
              <w:t xml:space="preserve">3</w:t>
            </w:r>
          </w:p>
        </w:tc>
        <w:tc>
          <w:tcPr>
            <w:tcW w:type="dxa" w:w="2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b/>
                <w:bCs/>
                <w:sz w:val="20"/>
                <w:szCs w:val="20"/>
              </w:rPr>
              <w:t xml:space="preserve">Codebook lookup</w:t>
            </w:r>
          </w:p>
        </w:tc>
        <w:tc>
          <w:tcPr>
            <w:tcW w:type="dxa" w:w="64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sz w:val="20"/>
                <w:szCs w:val="20"/>
              </w:rPr>
              <w:t xml:space="preserve">Joins Variable_Type, Variable_Unit, and Variable_Code_List_if_Coded from the Excel codebook (sheet: nuMoM2b_Variables) for all 63 blue variables.</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4</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b/>
                <w:bCs/>
                <w:sz w:val="20"/>
                <w:szCs w:val="20"/>
              </w:rPr>
              <w:t xml:space="preserve">Summary tables</w:t>
            </w:r>
          </w:p>
        </w:tc>
        <w:tc>
          <w:tcPr>
            <w:tcW w:type="dxa" w:w="6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Produces count-by-type, count-by-code, and cross-tabulation tables for the 63 variables. Rendered as kable HTML tables.</w:t>
            </w:r>
          </w:p>
        </w:tc>
      </w:tr>
      <w:tr>
        <w:tc>
          <w:tcPr>
            <w:tcW w:type="dxa" w:w="7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sz w:val="20"/>
                <w:szCs w:val="20"/>
              </w:rPr>
              <w:t xml:space="preserve">5</w:t>
            </w:r>
          </w:p>
        </w:tc>
        <w:tc>
          <w:tcPr>
            <w:tcW w:type="dxa" w:w="2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b/>
                <w:bCs/>
                <w:sz w:val="20"/>
                <w:szCs w:val="20"/>
              </w:rPr>
              <w:t xml:space="preserve">Missing rate (initial)</w:t>
            </w:r>
          </w:p>
        </w:tc>
        <w:tc>
          <w:tcPr>
            <w:tcW w:type="dxa" w:w="64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sz w:val="20"/>
                <w:szCs w:val="20"/>
              </w:rPr>
              <w:t xml:space="preserve">Computes n_missing and missing_rate (%) for each variable, sorted descending.</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5b</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b/>
                <w:bCs/>
                <w:sz w:val="20"/>
                <w:szCs w:val="20"/>
              </w:rPr>
              <w:t xml:space="preserve">Weight variable merge + BMI</w:t>
            </w:r>
          </w:p>
        </w:tc>
        <w:tc>
          <w:tcPr>
            <w:tcW w:type="dxa" w:w="6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CMAB01a1 (kg) and CMAB01a2 (lbs) are combined: kg takes priority; lbs converted at 0.453592 kg/lb. BMI = weight_kg / (height_cm/100)^2. Original CMAB01a1 and V1BA02a (height) are dropped; BMI is added.</w:t>
            </w:r>
          </w:p>
        </w:tc>
      </w:tr>
      <w:tr>
        <w:tc>
          <w:tcPr>
            <w:tcW w:type="dxa" w:w="7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sz w:val="20"/>
                <w:szCs w:val="20"/>
              </w:rPr>
              <w:t xml:space="preserve">5c</w:t>
            </w:r>
          </w:p>
        </w:tc>
        <w:tc>
          <w:tcPr>
            <w:tcW w:type="dxa" w:w="2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b/>
                <w:bCs/>
                <w:sz w:val="20"/>
                <w:szCs w:val="20"/>
              </w:rPr>
              <w:t xml:space="preserve">Missing rate (post-BMI)</w:t>
            </w:r>
          </w:p>
        </w:tc>
        <w:tc>
          <w:tcPr>
            <w:tcW w:type="dxa" w:w="64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sz w:val="20"/>
                <w:szCs w:val="20"/>
              </w:rPr>
              <w:t xml:space="preserve">Recomputes missing rate for the updated variable set (CMAB01a1 and V1BA02a removed, BMI added).</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5d</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b/>
                <w:bCs/>
                <w:sz w:val="20"/>
                <w:szCs w:val="20"/>
              </w:rPr>
              <w:t xml:space="preserve">Variable merging</w:t>
            </w:r>
          </w:p>
        </w:tc>
        <w:tc>
          <w:tcPr>
            <w:tcW w:type="dxa" w:w="6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11 composite indicators are derived using an any_flag() helper (returns 1 if any sub-variable = 1, 0 if none = 1 but not all NA, NA if all NA). Groups merged: Ins (5 insurance vars), Diabetes (2 vars), Sleep_Apnea (2 vars), Cardiac_Disease (4 vars), Autoimmune_Disease (3 vars), Thyroid_Disorder (2 vars), Prior_Uterine_Surgery (4 vars), Bleeding_Disorder (2 vars), Tobacco_Use (2 vars), Alcohol_Use (2 vars), Drug_Use (9 vars).</w:t>
            </w:r>
          </w:p>
        </w:tc>
      </w:tr>
      <w:tr>
        <w:tc>
          <w:tcPr>
            <w:tcW w:type="dxa" w:w="7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sz w:val="20"/>
                <w:szCs w:val="20"/>
              </w:rPr>
              <w:t xml:space="preserve">5d-2</w:t>
            </w:r>
          </w:p>
        </w:tc>
        <w:tc>
          <w:tcPr>
            <w:tcW w:type="dxa" w:w="2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b/>
                <w:bCs/>
                <w:sz w:val="20"/>
                <w:szCs w:val="20"/>
              </w:rPr>
              <w:t xml:space="preserve">NA recoding by variable type</w:t>
            </w:r>
          </w:p>
        </w:tc>
        <w:tc>
          <w:tcPr>
            <w:tcW w:type="dxa" w:w="64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sz w:val="20"/>
                <w:szCs w:val="20"/>
              </w:rPr>
              <w:t xml:space="preserve">Yes_No_v1 variables: 2 and NA recoded to 0 (list: Ins, Sleep_Apnea, Prior_Uterine_Surgery, Tobacco_Use, Alcohol_Use, Drug_Use, CMDA04a, CMDA04b, CMBG01, ChronHTN). Checked variables: NA recoded to 0 (Diabetes, Cardiac_Disease, Autoimmune_Disease, Thyroid_Disorder, Bleeding_Disorder, and 6 individual coded flags).</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5e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b/>
                <w:bCs/>
                <w:sz w:val="20"/>
                <w:szCs w:val="20"/>
              </w:rPr>
              <w:t xml:space="preserve">Missing rate (final 35 vars)</w:t>
            </w:r>
          </w:p>
        </w:tc>
        <w:tc>
          <w:tcPr>
            <w:tcW w:type="dxa" w:w="6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Final missing rate table. Derived variable metadata is appended manually (type = Coded, code = 0/1 (derived)).</w:t>
            </w:r>
          </w:p>
        </w:tc>
      </w:tr>
      <w:tr>
        <w:tc>
          <w:tcPr>
            <w:tcW w:type="dxa" w:w="7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sz w:val="20"/>
                <w:szCs w:val="20"/>
              </w:rPr>
              <w:t xml:space="preserve">5f</w:t>
            </w:r>
          </w:p>
        </w:tc>
        <w:tc>
          <w:tcPr>
            <w:tcW w:type="dxa" w:w="2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b/>
                <w:bCs/>
                <w:sz w:val="20"/>
                <w:szCs w:val="20"/>
              </w:rPr>
              <w:t xml:space="preserve">Value distribution plot</w:t>
            </w:r>
          </w:p>
        </w:tc>
        <w:tc>
          <w:tcPr>
            <w:tcW w:type="dxa" w:w="64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sz w:val="20"/>
                <w:szCs w:val="20"/>
              </w:rPr>
              <w:t xml:space="preserve">ggplot2 facet plot showing % distribution of each unique value per variable. 5 columns, free x-axis scales.</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5g</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b/>
                <w:bCs/>
                <w:sz w:val="20"/>
                <w:szCs w:val="20"/>
              </w:rPr>
              <w:t xml:space="preserve">Non-numeric check</w:t>
            </w:r>
          </w:p>
        </w:tc>
        <w:tc>
          <w:tcPr>
            <w:tcW w:type="dxa" w:w="6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Identifies variables containing non-numeric values (e.g., 'D', 'R' skip codes).</w:t>
            </w:r>
          </w:p>
        </w:tc>
      </w:tr>
      <w:tr>
        <w:tc>
          <w:tcPr>
            <w:tcW w:type="dxa" w:w="7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sz w:val="20"/>
                <w:szCs w:val="20"/>
              </w:rPr>
              <w:t xml:space="preserve">5h</w:t>
            </w:r>
          </w:p>
        </w:tc>
        <w:tc>
          <w:tcPr>
            <w:tcW w:type="dxa" w:w="2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b/>
                <w:bCs/>
                <w:sz w:val="20"/>
                <w:szCs w:val="20"/>
              </w:rPr>
              <w:t xml:space="preserve">Non-numeric recode to NA</w:t>
            </w:r>
          </w:p>
        </w:tc>
        <w:tc>
          <w:tcPr>
            <w:tcW w:type="dxa" w:w="64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sz w:val="20"/>
                <w:szCs w:val="20"/>
              </w:rPr>
              <w:t xml:space="preserve">All non-numeric values are replaced with NA_real_ via suppressWarnings(as.numeric(as.character(.))). A second check confirms no non-numeric values remain.</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5i</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b/>
                <w:bCs/>
                <w:sz w:val="20"/>
                <w:szCs w:val="20"/>
              </w:rPr>
              <w:t xml:space="preserve">One-hot encoding</w:t>
            </w:r>
          </w:p>
        </w:tc>
        <w:tc>
          <w:tcPr>
            <w:tcW w:type="dxa" w:w="6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Race (1–9) and V1AF04 / Marital Status (1–5) are one-hot encoded using a one_hot() helper. Reference category (first level) is dropped to avoid multicollinearity. Race reference = 1 (Non-Hispanic White); Marital reference = 1 (Married/living with partner). Produces Race_2 through Race_9 and Marital_2 through Marital_5.</w:t>
            </w:r>
          </w:p>
        </w:tc>
      </w:tr>
      <w:tr>
        <w:tc>
          <w:tcPr>
            <w:tcW w:type="dxa" w:w="7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sz w:val="20"/>
                <w:szCs w:val="20"/>
              </w:rPr>
              <w:t xml:space="preserve">6</w:t>
            </w:r>
          </w:p>
        </w:tc>
        <w:tc>
          <w:tcPr>
            <w:tcW w:type="dxa" w:w="2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b/>
                <w:bCs/>
                <w:sz w:val="20"/>
                <w:szCs w:val="20"/>
              </w:rPr>
              <w:t xml:space="preserve">Save outputs</w:t>
            </w:r>
          </w:p>
        </w:tc>
        <w:tc>
          <w:tcPr>
            <w:tcW w:type="dxa" w:w="64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sz w:val="20"/>
                <w:szCs w:val="20"/>
              </w:rPr>
              <w:t xml:space="preserve">6 files saved: CSV and RDS of the final dataset, codebook lookup CSV, three missing-rate CSVs (original 63, post-BMI, final 35), and an Excel file of the 35-variable final dataset.</w:t>
            </w:r>
          </w:p>
        </w:tc>
      </w:tr>
    </w:tbl>
    <w:p>
      <w:pPr>
        <w:spacing w:after="60"/>
      </w:pPr>
      <w:r>
        <w:t xml:space="preserve"/>
      </w:r>
    </w:p>
    <w:p>
      <w:pPr>
        <w:pStyle w:val="Heading2"/>
      </w:pPr>
      <w:r>
        <w:rPr>
          <w:rFonts w:ascii="Arial" w:cs="Arial" w:eastAsia="Arial" w:hAnsi="Arial"/>
          <w:b/>
          <w:bCs/>
          <w:sz w:val="26"/>
          <w:szCs w:val="26"/>
        </w:rPr>
        <w:t xml:space="preserve">2.3 Key Design Decisions</w:t>
      </w:r>
    </w:p>
    <w:p>
      <w:pPr>
        <w:spacing w:after="80"/>
      </w:pPr>
      <w:r>
        <w:rPr>
          <w:rFonts w:ascii="Arial" w:cs="Arial" w:eastAsia="Arial" w:hAnsi="Arial"/>
          <w:sz w:val="22"/>
          <w:szCs w:val="22"/>
        </w:rPr>
        <w:t xml:space="preserve">Any insurance flag: missing coded as 0 (assumed uninsured). Drug use: 9 sub-variables collapsed to a single binary flag. Race category 9 (Missing) remains as a dummy column (Race_9) for model transparency.</w:t>
      </w:r>
    </w:p>
    <w:p>
      <w:pPr>
        <w:spacing w:after="60"/>
      </w:pPr>
      <w:r>
        <w:t xml:space="preserve"/>
      </w:r>
    </w:p>
    <w:p>
      <w:pPr>
        <w:pStyle w:val="Heading2"/>
      </w:pPr>
      <w:r>
        <w:rPr>
          <w:rFonts w:ascii="Arial" w:cs="Arial" w:eastAsia="Arial" w:hAnsi="Arial"/>
          <w:b/>
          <w:bCs/>
          <w:sz w:val="26"/>
          <w:szCs w:val="26"/>
        </w:rPr>
        <w:t xml:space="preserve">2.4 Output Files (outputs/s1/)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4A7B9D" w:val="clear"/>
            <w:tcMar>
              <w:top w:type="dxa" w:w="80"/>
              <w:left w:type="dxa" w:w="120"/>
              <w:bottom w:type="dxa" w:w="80"/>
              <w:right w:type="dxa" w:w="80"/>
            </w:tcMar>
          </w:tcPr>
          <w:p>
            <w:r>
              <w:rPr>
                <w:rFonts w:ascii="Arial" w:cs="Arial" w:eastAsia="Arial" w:hAnsi="Arial"/>
                <w:b/>
                <w:bCs/>
                <w:color w:val="FFFFFF"/>
                <w:sz w:val="20"/>
                <w:szCs w:val="20"/>
              </w:rPr>
              <w:t xml:space="preserve">Output File</w:t>
            </w:r>
          </w:p>
        </w:tc>
        <w:tc>
          <w:tcPr>
            <w:tcW w:type="dxa" w:w="5760"/>
            <w:tcBorders>
              <w:top w:val="single" w:color="AAAAAA" w:sz="1"/>
              <w:left w:val="single" w:color="AAAAAA" w:sz="1"/>
              <w:bottom w:val="single" w:color="AAAAAA" w:sz="1"/>
              <w:right w:val="single" w:color="AAAAAA" w:sz="1"/>
            </w:tcBorders>
            <w:shd w:fill="4A7B9D"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r>
      <w:tr>
        <w:tc>
          <w:tcPr>
            <w:tcW w:type="dxa" w:w="3600"/>
            <w:tcBorders>
              <w:top w:val="single" w:color="AAAAAA" w:sz="1"/>
              <w:left w:val="single" w:color="AAAAAA" w:sz="1"/>
              <w:bottom w:val="single" w:color="AAAAAA" w:sz="1"/>
              <w:right w:val="single" w:color="AAAAAA" w:sz="1"/>
            </w:tcBorders>
            <w:shd w:fill="F0F6FA" w:val="clear"/>
            <w:tcMar>
              <w:top w:type="dxa" w:w="80"/>
              <w:left w:type="dxa" w:w="120"/>
              <w:bottom w:type="dxa" w:w="80"/>
              <w:right w:type="dxa" w:w="80"/>
            </w:tcMar>
          </w:tcPr>
          <w:p>
            <w:r>
              <w:rPr>
                <w:rFonts w:ascii="Courier New" w:cs="Courier New" w:eastAsia="Courier New" w:hAnsi="Courier New"/>
                <w:sz w:val="18"/>
                <w:szCs w:val="18"/>
              </w:rPr>
              <w:t xml:space="preserve">v1_1_blue_variables.csv / .rds</w:t>
            </w:r>
          </w:p>
        </w:tc>
        <w:tc>
          <w:tcPr>
            <w:tcW w:type="dxa" w:w="5760"/>
            <w:tcBorders>
              <w:top w:val="single" w:color="AAAAAA" w:sz="1"/>
              <w:left w:val="single" w:color="AAAAAA" w:sz="1"/>
              <w:bottom w:val="single" w:color="AAAAAA" w:sz="1"/>
              <w:right w:val="single" w:color="AAAAAA" w:sz="1"/>
            </w:tcBorders>
            <w:shd w:fill="F0F6FA" w:val="clear"/>
            <w:tcMar>
              <w:top w:type="dxa" w:w="80"/>
              <w:left w:type="dxa" w:w="120"/>
              <w:bottom w:type="dxa" w:w="80"/>
              <w:right w:type="dxa" w:w="80"/>
            </w:tcMar>
          </w:tcPr>
          <w:p>
            <w:r>
              <w:rPr>
                <w:rFonts w:ascii="Arial" w:cs="Arial" w:eastAsia="Arial" w:hAnsi="Arial"/>
                <w:sz w:val="20"/>
                <w:szCs w:val="20"/>
              </w:rPr>
              <w:t xml:space="preserve">Final predictor dataset after all engineering (35 columns including one-hot dummies)</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Courier New" w:cs="Courier New" w:eastAsia="Courier New" w:hAnsi="Courier New"/>
                <w:sz w:val="18"/>
                <w:szCs w:val="18"/>
              </w:rPr>
              <w:t xml:space="preserve">v1_2_blue_codebook_lookup.csv</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Codebook metadata (type, unit, code) for 62 substantive blue variables</w:t>
            </w:r>
          </w:p>
        </w:tc>
      </w:tr>
      <w:tr>
        <w:tc>
          <w:tcPr>
            <w:tcW w:type="dxa" w:w="3600"/>
            <w:tcBorders>
              <w:top w:val="single" w:color="AAAAAA" w:sz="1"/>
              <w:left w:val="single" w:color="AAAAAA" w:sz="1"/>
              <w:bottom w:val="single" w:color="AAAAAA" w:sz="1"/>
              <w:right w:val="single" w:color="AAAAAA" w:sz="1"/>
            </w:tcBorders>
            <w:shd w:fill="F0F6FA" w:val="clear"/>
            <w:tcMar>
              <w:top w:type="dxa" w:w="80"/>
              <w:left w:type="dxa" w:w="120"/>
              <w:bottom w:type="dxa" w:w="80"/>
              <w:right w:type="dxa" w:w="80"/>
            </w:tcMar>
          </w:tcPr>
          <w:p>
            <w:r>
              <w:rPr>
                <w:rFonts w:ascii="Courier New" w:cs="Courier New" w:eastAsia="Courier New" w:hAnsi="Courier New"/>
                <w:sz w:val="18"/>
                <w:szCs w:val="18"/>
              </w:rPr>
              <w:t xml:space="preserve">v1_3_blue_missing_rate.csv</w:t>
            </w:r>
          </w:p>
        </w:tc>
        <w:tc>
          <w:tcPr>
            <w:tcW w:type="dxa" w:w="5760"/>
            <w:tcBorders>
              <w:top w:val="single" w:color="AAAAAA" w:sz="1"/>
              <w:left w:val="single" w:color="AAAAAA" w:sz="1"/>
              <w:bottom w:val="single" w:color="AAAAAA" w:sz="1"/>
              <w:right w:val="single" w:color="AAAAAA" w:sz="1"/>
            </w:tcBorders>
            <w:shd w:fill="F0F6FA" w:val="clear"/>
            <w:tcMar>
              <w:top w:type="dxa" w:w="80"/>
              <w:left w:type="dxa" w:w="120"/>
              <w:bottom w:type="dxa" w:w="80"/>
              <w:right w:type="dxa" w:w="80"/>
            </w:tcMar>
          </w:tcPr>
          <w:p>
            <w:r>
              <w:rPr>
                <w:rFonts w:ascii="Arial" w:cs="Arial" w:eastAsia="Arial" w:hAnsi="Arial"/>
                <w:sz w:val="20"/>
                <w:szCs w:val="20"/>
              </w:rPr>
              <w:t xml:space="preserve">Missing rate for original 63 variables (pre-engineering)</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Courier New" w:cs="Courier New" w:eastAsia="Courier New" w:hAnsi="Courier New"/>
                <w:sz w:val="18"/>
                <w:szCs w:val="18"/>
              </w:rPr>
              <w:t xml:space="preserve">v1_4_blue_missing_rate_updated.csv</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Missing rate after BMI derivation (61 variables)</w:t>
            </w:r>
          </w:p>
        </w:tc>
      </w:tr>
      <w:tr>
        <w:tc>
          <w:tcPr>
            <w:tcW w:type="dxa" w:w="3600"/>
            <w:tcBorders>
              <w:top w:val="single" w:color="AAAAAA" w:sz="1"/>
              <w:left w:val="single" w:color="AAAAAA" w:sz="1"/>
              <w:bottom w:val="single" w:color="AAAAAA" w:sz="1"/>
              <w:right w:val="single" w:color="AAAAAA" w:sz="1"/>
            </w:tcBorders>
            <w:shd w:fill="F0F6FA" w:val="clear"/>
            <w:tcMar>
              <w:top w:type="dxa" w:w="80"/>
              <w:left w:type="dxa" w:w="120"/>
              <w:bottom w:type="dxa" w:w="80"/>
              <w:right w:type="dxa" w:w="80"/>
            </w:tcMar>
          </w:tcPr>
          <w:p>
            <w:r>
              <w:rPr>
                <w:rFonts w:ascii="Courier New" w:cs="Courier New" w:eastAsia="Courier New" w:hAnsi="Courier New"/>
                <w:sz w:val="18"/>
                <w:szCs w:val="18"/>
              </w:rPr>
              <w:t xml:space="preserve">v1_5_blue_missing_rate_final.csv</w:t>
            </w:r>
          </w:p>
        </w:tc>
        <w:tc>
          <w:tcPr>
            <w:tcW w:type="dxa" w:w="5760"/>
            <w:tcBorders>
              <w:top w:val="single" w:color="AAAAAA" w:sz="1"/>
              <w:left w:val="single" w:color="AAAAAA" w:sz="1"/>
              <w:bottom w:val="single" w:color="AAAAAA" w:sz="1"/>
              <w:right w:val="single" w:color="AAAAAA" w:sz="1"/>
            </w:tcBorders>
            <w:shd w:fill="F0F6FA" w:val="clear"/>
            <w:tcMar>
              <w:top w:type="dxa" w:w="80"/>
              <w:left w:type="dxa" w:w="120"/>
              <w:bottom w:type="dxa" w:w="80"/>
              <w:right w:type="dxa" w:w="80"/>
            </w:tcMar>
          </w:tcPr>
          <w:p>
            <w:r>
              <w:rPr>
                <w:rFonts w:ascii="Arial" w:cs="Arial" w:eastAsia="Arial" w:hAnsi="Arial"/>
                <w:sz w:val="20"/>
                <w:szCs w:val="20"/>
              </w:rPr>
              <w:t xml:space="preserve">Missing rate for final 35 variables (post all merging)</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Courier New" w:cs="Courier New" w:eastAsia="Courier New" w:hAnsi="Courier New"/>
                <w:sz w:val="18"/>
                <w:szCs w:val="18"/>
              </w:rPr>
              <w:t xml:space="preserve">v1_6_blue_variables_35_final.xlsx</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Excel version of the final 35-variable predictor dataset</w:t>
            </w:r>
          </w:p>
        </w:tc>
      </w:tr>
    </w:tbl>
    <w:p>
      <w:pPr>
        <w:pBdr>
          <w:bottom w:val="single" w:color="2E4057" w:sz="4" w:space="1"/>
        </w:pBdr>
        <w:spacing w:after="200" w:before="200"/>
      </w:pPr>
    </w:p>
    <w:p>
      <w:pPr>
        <w:pStyle w:val="Heading1"/>
      </w:pPr>
      <w:r>
        <w:rPr>
          <w:rFonts w:ascii="Arial" w:cs="Arial" w:eastAsia="Arial" w:hAnsi="Arial"/>
          <w:b/>
          <w:bCs/>
          <w:sz w:val="32"/>
          <w:szCs w:val="32"/>
        </w:rPr>
        <w:t xml:space="preserve">3. s2 — Selecting Pink Variables</w:t>
      </w:r>
    </w:p>
    <w:p>
      <w:pPr>
        <w:spacing w:after="80"/>
      </w:pPr>
      <w:r>
        <w:rPr>
          <w:rFonts w:ascii="Arial" w:cs="Arial" w:eastAsia="Arial" w:hAnsi="Arial"/>
          <w:i/>
          <w:iCs/>
          <w:sz w:val="22"/>
          <w:szCs w:val="22"/>
        </w:rPr>
        <w:t xml:space="preserve">File: s2_selecting_pink_variables.Rmd</w:t>
      </w:r>
    </w:p>
    <w:p>
      <w:pPr>
        <w:spacing w:after="80"/>
      </w:pPr>
      <w:r>
        <w:rPr>
          <w:rFonts w:ascii="Arial" w:cs="Arial" w:eastAsia="Arial" w:hAnsi="Arial"/>
          <w:sz w:val="22"/>
          <w:szCs w:val="22"/>
        </w:rPr>
        <w:t xml:space="preserve">Language: R  |  Output directory: outputs/s2/</w:t>
      </w:r>
    </w:p>
    <w:p>
      <w:pPr>
        <w:spacing w:after="60"/>
      </w:pPr>
      <w:r>
        <w:t xml:space="preserve"/>
      </w:r>
    </w:p>
    <w:p>
      <w:pPr>
        <w:pStyle w:val="Heading2"/>
      </w:pPr>
      <w:r>
        <w:rPr>
          <w:rFonts w:ascii="Arial" w:cs="Arial" w:eastAsia="Arial" w:hAnsi="Arial"/>
          <w:b/>
          <w:bCs/>
          <w:sz w:val="26"/>
          <w:szCs w:val="26"/>
        </w:rPr>
        <w:t xml:space="preserve">3.1 Purpose</w:t>
      </w:r>
    </w:p>
    <w:p>
      <w:pPr>
        <w:spacing w:after="80"/>
      </w:pPr>
      <w:r>
        <w:rPr>
          <w:rFonts w:ascii="Arial" w:cs="Arial" w:eastAsia="Arial" w:hAnsi="Arial"/>
          <w:sz w:val="22"/>
          <w:szCs w:val="22"/>
        </w:rPr>
        <w:t xml:space="preserve">Selects 131 pink (outcome-relevant) variables from the raw dataset and filters observations using CMAE14 as an exclusion flag. Produces two datasets: one of excluded flagged rows (for reference), one of clean rows for downstream SMM construction.</w:t>
      </w:r>
    </w:p>
    <w:p>
      <w:pPr>
        <w:spacing w:after="60"/>
      </w:pPr>
      <w:r>
        <w:t xml:space="preserve"/>
      </w:r>
    </w:p>
    <w:p>
      <w:pPr>
        <w:pStyle w:val="Heading2"/>
      </w:pPr>
      <w:r>
        <w:rPr>
          <w:rFonts w:ascii="Arial" w:cs="Arial" w:eastAsia="Arial" w:hAnsi="Arial"/>
          <w:b/>
          <w:bCs/>
          <w:sz w:val="26"/>
          <w:szCs w:val="26"/>
        </w:rPr>
        <w:t xml:space="preserve">3.2 Processing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c>
          <w:tcPr>
            <w:tcW w:type="dxa" w:w="72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80"/>
            </w:tcMar>
          </w:tcPr>
          <w:p>
            <w:r>
              <w:rPr>
                <w:rFonts w:ascii="Arial" w:cs="Arial" w:eastAsia="Arial" w:hAnsi="Arial"/>
                <w:b/>
                <w:bCs/>
                <w:color w:val="FFFFFF"/>
                <w:sz w:val="20"/>
                <w:szCs w:val="20"/>
              </w:rPr>
              <w:t xml:space="preserve">Step</w:t>
            </w:r>
          </w:p>
        </w:tc>
        <w:tc>
          <w:tcPr>
            <w:tcW w:type="dxa" w:w="21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80"/>
            </w:tcMar>
          </w:tcPr>
          <w:p>
            <w:r>
              <w:rPr>
                <w:rFonts w:ascii="Arial" w:cs="Arial" w:eastAsia="Arial" w:hAnsi="Arial"/>
                <w:b/>
                <w:bCs/>
                <w:color w:val="FFFFFF"/>
                <w:sz w:val="20"/>
                <w:szCs w:val="20"/>
              </w:rPr>
              <w:t xml:space="preserve">Title</w:t>
            </w:r>
          </w:p>
        </w:tc>
        <w:tc>
          <w:tcPr>
            <w:tcW w:type="dxa" w:w="648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r>
      <w:tr>
        <w:tc>
          <w:tcPr>
            <w:tcW w:type="dxa" w:w="7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sz w:val="20"/>
                <w:szCs w:val="20"/>
              </w:rPr>
              <w:t xml:space="preserve">1</w:t>
            </w:r>
          </w:p>
        </w:tc>
        <w:tc>
          <w:tcPr>
            <w:tcW w:type="dxa" w:w="2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b/>
                <w:bCs/>
                <w:sz w:val="20"/>
                <w:szCs w:val="20"/>
              </w:rPr>
              <w:t xml:space="preserve">Define 131 pink variables</w:t>
            </w:r>
          </w:p>
        </w:tc>
        <w:tc>
          <w:tcPr>
            <w:tcW w:type="dxa" w:w="64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sz w:val="20"/>
                <w:szCs w:val="20"/>
              </w:rPr>
              <w:t xml:space="preserve">Hardcoded list covering: A04, A05, CMA (diet/medication/supplements sections), CMB (lab measurements), CMD (delivery), CME (maternal events) variable groups.</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2</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b/>
                <w:bCs/>
                <w:sz w:val="20"/>
                <w:szCs w:val="20"/>
              </w:rPr>
              <w:t xml:space="preserve">Check and load data</w:t>
            </w:r>
          </w:p>
        </w:tc>
        <w:tc>
          <w:tcPr>
            <w:tcW w:type="dxa" w:w="6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All column names are read first. Missing pink variables are logged and saved. Full dataset is loaded for CMAE14 flagging. CMAE14 must exist in the dataset (hard stop if missing).</w:t>
            </w:r>
          </w:p>
        </w:tc>
      </w:tr>
      <w:tr>
        <w:tc>
          <w:tcPr>
            <w:tcW w:type="dxa" w:w="7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sz w:val="20"/>
                <w:szCs w:val="20"/>
              </w:rPr>
              <w:t xml:space="preserve">3</w:t>
            </w:r>
          </w:p>
        </w:tc>
        <w:tc>
          <w:tcPr>
            <w:tcW w:type="dxa" w:w="2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b/>
                <w:bCs/>
                <w:sz w:val="20"/>
                <w:szCs w:val="20"/>
              </w:rPr>
              <w:t xml:space="preserve">Split by CMAE14</w:t>
            </w:r>
          </w:p>
        </w:tc>
        <w:tc>
          <w:tcPr>
            <w:tcW w:type="dxa" w:w="64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sz w:val="20"/>
                <w:szCs w:val="20"/>
              </w:rPr>
              <w:t xml:space="preserve">CMAE14 == 1 identifies rows to exclude. Dataset 1: all columns, CMAE14=1 rows only (for record-keeping). Dataset 2: pink variables + PublicID, rows where CMAE14 != 1 or is NA.</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4</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b/>
                <w:bCs/>
                <w:sz w:val="20"/>
                <w:szCs w:val="20"/>
              </w:rPr>
              <w:t xml:space="preserve">Save outputs</w:t>
            </w:r>
          </w:p>
        </w:tc>
        <w:tc>
          <w:tcPr>
            <w:tcW w:type="dxa" w:w="6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Two CSV + RDS pairs saved for Dataset 1 (flagged rows) and Dataset 2 (clean pink variables).</w:t>
            </w:r>
          </w:p>
        </w:tc>
      </w:tr>
    </w:tbl>
    <w:p>
      <w:pPr>
        <w:spacing w:after="60"/>
      </w:pPr>
      <w:r>
        <w:t xml:space="preserve"/>
      </w:r>
    </w:p>
    <w:p>
      <w:pPr>
        <w:pStyle w:val="Heading2"/>
      </w:pPr>
      <w:r>
        <w:rPr>
          <w:rFonts w:ascii="Arial" w:cs="Arial" w:eastAsia="Arial" w:hAnsi="Arial"/>
          <w:b/>
          <w:bCs/>
          <w:sz w:val="26"/>
          <w:szCs w:val="26"/>
        </w:rPr>
        <w:t xml:space="preserve">3.3 Output Files (outputs/s2/)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4A7B9D" w:val="clear"/>
            <w:tcMar>
              <w:top w:type="dxa" w:w="80"/>
              <w:left w:type="dxa" w:w="120"/>
              <w:bottom w:type="dxa" w:w="80"/>
              <w:right w:type="dxa" w:w="80"/>
            </w:tcMar>
          </w:tcPr>
          <w:p>
            <w:r>
              <w:rPr>
                <w:rFonts w:ascii="Arial" w:cs="Arial" w:eastAsia="Arial" w:hAnsi="Arial"/>
                <w:b/>
                <w:bCs/>
                <w:color w:val="FFFFFF"/>
                <w:sz w:val="20"/>
                <w:szCs w:val="20"/>
              </w:rPr>
              <w:t xml:space="preserve">Output File</w:t>
            </w:r>
          </w:p>
        </w:tc>
        <w:tc>
          <w:tcPr>
            <w:tcW w:type="dxa" w:w="5760"/>
            <w:tcBorders>
              <w:top w:val="single" w:color="AAAAAA" w:sz="1"/>
              <w:left w:val="single" w:color="AAAAAA" w:sz="1"/>
              <w:bottom w:val="single" w:color="AAAAAA" w:sz="1"/>
              <w:right w:val="single" w:color="AAAAAA" w:sz="1"/>
            </w:tcBorders>
            <w:shd w:fill="4A7B9D"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r>
      <w:tr>
        <w:tc>
          <w:tcPr>
            <w:tcW w:type="dxa" w:w="3600"/>
            <w:tcBorders>
              <w:top w:val="single" w:color="AAAAAA" w:sz="1"/>
              <w:left w:val="single" w:color="AAAAAA" w:sz="1"/>
              <w:bottom w:val="single" w:color="AAAAAA" w:sz="1"/>
              <w:right w:val="single" w:color="AAAAAA" w:sz="1"/>
            </w:tcBorders>
            <w:shd w:fill="F0F6FA" w:val="clear"/>
            <w:tcMar>
              <w:top w:type="dxa" w:w="80"/>
              <w:left w:type="dxa" w:w="120"/>
              <w:bottom w:type="dxa" w:w="80"/>
              <w:right w:type="dxa" w:w="80"/>
            </w:tcMar>
          </w:tcPr>
          <w:p>
            <w:r>
              <w:rPr>
                <w:rFonts w:ascii="Courier New" w:cs="Courier New" w:eastAsia="Courier New" w:hAnsi="Courier New"/>
                <w:sz w:val="18"/>
                <w:szCs w:val="18"/>
              </w:rPr>
              <w:t xml:space="preserve">v1_1_cmae14_flagged_rows.csv / .rds</w:t>
            </w:r>
          </w:p>
        </w:tc>
        <w:tc>
          <w:tcPr>
            <w:tcW w:type="dxa" w:w="5760"/>
            <w:tcBorders>
              <w:top w:val="single" w:color="AAAAAA" w:sz="1"/>
              <w:left w:val="single" w:color="AAAAAA" w:sz="1"/>
              <w:bottom w:val="single" w:color="AAAAAA" w:sz="1"/>
              <w:right w:val="single" w:color="AAAAAA" w:sz="1"/>
            </w:tcBorders>
            <w:shd w:fill="F0F6FA" w:val="clear"/>
            <w:tcMar>
              <w:top w:type="dxa" w:w="80"/>
              <w:left w:type="dxa" w:w="120"/>
              <w:bottom w:type="dxa" w:w="80"/>
              <w:right w:type="dxa" w:w="80"/>
            </w:tcMar>
          </w:tcPr>
          <w:p>
            <w:r>
              <w:rPr>
                <w:rFonts w:ascii="Arial" w:cs="Arial" w:eastAsia="Arial" w:hAnsi="Arial"/>
                <w:sz w:val="20"/>
                <w:szCs w:val="20"/>
              </w:rPr>
              <w:t xml:space="preserve">All columns, rows where CMAE14 = 1 (excluded observations)</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Courier New" w:cs="Courier New" w:eastAsia="Courier New" w:hAnsi="Courier New"/>
                <w:sz w:val="18"/>
                <w:szCs w:val="18"/>
              </w:rPr>
              <w:t xml:space="preserve">v1_2_pink_variables_clean.csv / .rds</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131 pink variables (+ PublicID), CMAE14=1 rows removed</w:t>
            </w:r>
          </w:p>
        </w:tc>
      </w:tr>
    </w:tbl>
    <w:p>
      <w:pPr>
        <w:pBdr>
          <w:bottom w:val="single" w:color="2E4057" w:sz="4" w:space="1"/>
        </w:pBdr>
        <w:spacing w:after="200" w:before="200"/>
      </w:pPr>
    </w:p>
    <w:p>
      <w:pPr>
        <w:pStyle w:val="Heading1"/>
      </w:pPr>
      <w:r>
        <w:rPr>
          <w:rFonts w:ascii="Arial" w:cs="Arial" w:eastAsia="Arial" w:hAnsi="Arial"/>
          <w:b/>
          <w:bCs/>
          <w:sz w:val="32"/>
          <w:szCs w:val="32"/>
        </w:rPr>
        <w:t xml:space="preserve">4. s3 — Processing Pink Variables and Creating SMM Column</w:t>
      </w:r>
    </w:p>
    <w:p>
      <w:pPr>
        <w:spacing w:after="80"/>
      </w:pPr>
      <w:r>
        <w:rPr>
          <w:rFonts w:ascii="Arial" w:cs="Arial" w:eastAsia="Arial" w:hAnsi="Arial"/>
          <w:i/>
          <w:iCs/>
          <w:sz w:val="22"/>
          <w:szCs w:val="22"/>
        </w:rPr>
        <w:t xml:space="preserve">File: s3_processing_pink_variables.Rmd</w:t>
      </w:r>
    </w:p>
    <w:p>
      <w:pPr>
        <w:spacing w:after="80"/>
      </w:pPr>
      <w:r>
        <w:rPr>
          <w:rFonts w:ascii="Arial" w:cs="Arial" w:eastAsia="Arial" w:hAnsi="Arial"/>
          <w:sz w:val="22"/>
          <w:szCs w:val="22"/>
        </w:rPr>
        <w:t xml:space="preserve">Language: R  |  Output directory: outputs/s3/</w:t>
      </w:r>
    </w:p>
    <w:p>
      <w:pPr>
        <w:spacing w:after="60"/>
      </w:pPr>
      <w:r>
        <w:t xml:space="preserve"/>
      </w:r>
    </w:p>
    <w:p>
      <w:pPr>
        <w:pStyle w:val="Heading2"/>
      </w:pPr>
      <w:r>
        <w:rPr>
          <w:rFonts w:ascii="Arial" w:cs="Arial" w:eastAsia="Arial" w:hAnsi="Arial"/>
          <w:b/>
          <w:bCs/>
          <w:sz w:val="26"/>
          <w:szCs w:val="26"/>
        </w:rPr>
        <w:t xml:space="preserve">4.1 Purpose</w:t>
      </w:r>
    </w:p>
    <w:p>
      <w:pPr>
        <w:spacing w:after="80"/>
      </w:pPr>
      <w:r>
        <w:rPr>
          <w:rFonts w:ascii="Arial" w:cs="Arial" w:eastAsia="Arial" w:hAnsi="Arial"/>
          <w:sz w:val="22"/>
          <w:szCs w:val="22"/>
        </w:rPr>
        <w:t xml:space="preserve">Constructs the binary SMM (Severe Maternal Morbidity) outcome from the cleaned pink variables using a combination of coded variable rules and free-text keyword/exact-value matching on SP (specify/other) fields. Merges the SMM column with the blue predictor variables from s1.</w:t>
      </w:r>
    </w:p>
    <w:p>
      <w:pPr>
        <w:spacing w:after="60"/>
      </w:pPr>
      <w:r>
        <w:t xml:space="preserve"/>
      </w:r>
    </w:p>
    <w:p>
      <w:pPr>
        <w:pStyle w:val="Heading2"/>
      </w:pPr>
      <w:r>
        <w:rPr>
          <w:rFonts w:ascii="Arial" w:cs="Arial" w:eastAsia="Arial" w:hAnsi="Arial"/>
          <w:b/>
          <w:bCs/>
          <w:sz w:val="26"/>
          <w:szCs w:val="26"/>
        </w:rPr>
        <w:t xml:space="preserve">4.2 Processing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c>
          <w:tcPr>
            <w:tcW w:type="dxa" w:w="72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80"/>
            </w:tcMar>
          </w:tcPr>
          <w:p>
            <w:r>
              <w:rPr>
                <w:rFonts w:ascii="Arial" w:cs="Arial" w:eastAsia="Arial" w:hAnsi="Arial"/>
                <w:b/>
                <w:bCs/>
                <w:color w:val="FFFFFF"/>
                <w:sz w:val="20"/>
                <w:szCs w:val="20"/>
              </w:rPr>
              <w:t xml:space="preserve">Step</w:t>
            </w:r>
          </w:p>
        </w:tc>
        <w:tc>
          <w:tcPr>
            <w:tcW w:type="dxa" w:w="21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80"/>
            </w:tcMar>
          </w:tcPr>
          <w:p>
            <w:r>
              <w:rPr>
                <w:rFonts w:ascii="Arial" w:cs="Arial" w:eastAsia="Arial" w:hAnsi="Arial"/>
                <w:b/>
                <w:bCs/>
                <w:color w:val="FFFFFF"/>
                <w:sz w:val="20"/>
                <w:szCs w:val="20"/>
              </w:rPr>
              <w:t xml:space="preserve">Title</w:t>
            </w:r>
          </w:p>
        </w:tc>
        <w:tc>
          <w:tcPr>
            <w:tcW w:type="dxa" w:w="648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r>
      <w:tr>
        <w:tc>
          <w:tcPr>
            <w:tcW w:type="dxa" w:w="7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sz w:val="20"/>
                <w:szCs w:val="20"/>
              </w:rPr>
              <w:t xml:space="preserve">1</w:t>
            </w:r>
          </w:p>
        </w:tc>
        <w:tc>
          <w:tcPr>
            <w:tcW w:type="dxa" w:w="2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b/>
                <w:bCs/>
                <w:sz w:val="20"/>
                <w:szCs w:val="20"/>
              </w:rPr>
              <w:t xml:space="preserve">Remove specified variables</w:t>
            </w:r>
          </w:p>
        </w:tc>
        <w:tc>
          <w:tcPr>
            <w:tcW w:type="dxa" w:w="64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sz w:val="20"/>
                <w:szCs w:val="20"/>
              </w:rPr>
              <w:t xml:space="preserve">Removes 16 variables: 8 that would make SMM always NA (vars_smm_na: CMAE11e_SP, CMAE12c, CMAE13c1–c4, CMAE13c4_SP, CMAI01A_INT), 7 risk-factor variables excluded from SMM coding (vars_smm_rf: CMBJ04 x4, CMDA08c, CMEA03), and A04A05.</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2</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b/>
                <w:bCs/>
                <w:sz w:val="20"/>
                <w:szCs w:val="20"/>
              </w:rPr>
              <w:t xml:space="preserve">Codebook lookup for remaining vars</w:t>
            </w:r>
          </w:p>
        </w:tc>
        <w:tc>
          <w:tcPr>
            <w:tcW w:type="dxa" w:w="6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Looks up Variable_Code_List_if_Coded for all remaining pink variables. Summarizes distribution of code types (Event_Related, Adverse_Event_v1, Checked, Yes_No_v1, Yes_No_v4, Yes_No_v5, NA_or_blank).</w:t>
            </w:r>
          </w:p>
        </w:tc>
      </w:tr>
      <w:tr>
        <w:tc>
          <w:tcPr>
            <w:tcW w:type="dxa" w:w="7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sz w:val="20"/>
                <w:szCs w:val="20"/>
              </w:rPr>
              <w:t xml:space="preserve">3</w:t>
            </w:r>
          </w:p>
        </w:tc>
        <w:tc>
          <w:tcPr>
            <w:tcW w:type="dxa" w:w="2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b/>
                <w:bCs/>
                <w:sz w:val="20"/>
                <w:szCs w:val="20"/>
              </w:rPr>
              <w:t xml:space="preserve">Remove SP text variables</w:t>
            </w:r>
          </w:p>
        </w:tc>
        <w:tc>
          <w:tcPr>
            <w:tcW w:type="dxa" w:w="64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sz w:val="20"/>
                <w:szCs w:val="20"/>
              </w:rPr>
              <w:t xml:space="preserve">Removes A04A03c_SP and A04A03c_SP_1 (open-text specify fields not suitable for exact matching).</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4</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b/>
                <w:bCs/>
                <w:sz w:val="20"/>
                <w:szCs w:val="20"/>
              </w:rPr>
              <w:t xml:space="preserve">SMM from free-text SP variables</w:t>
            </w:r>
          </w:p>
        </w:tc>
        <w:tc>
          <w:tcPr>
            <w:tcW w:type="dxa" w:w="6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Two sub-methods: (4a) Exact-value matching for 5 SP variables (CMAE15a_sp, CMAE15b_sp, CMAE15c_sp, CMAE15d_sp [no approved values], CMAJ01d5_SP) against pre-approved clinical term lists. Matching is case-insensitive with whitespace trimming. (4b) SMM dictionary keyword matching for CMAD01h_SP, CMAD01i_SP, CMAJ01d1_SP, A04A05_1 using a comprehensive smm_dict covering 17 clinical domains (transfusion/hemorrhage, hypertensive, infection/sepsis, thromboembolic, respiratory, cardiac, renal/hepatic, etc.).</w:t>
            </w:r>
          </w:p>
        </w:tc>
      </w:tr>
      <w:tr>
        <w:tc>
          <w:tcPr>
            <w:tcW w:type="dxa" w:w="7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sz w:val="20"/>
                <w:szCs w:val="20"/>
              </w:rPr>
              <w:t xml:space="preserve">5</w:t>
            </w:r>
          </w:p>
        </w:tc>
        <w:tc>
          <w:tcPr>
            <w:tcW w:type="dxa" w:w="2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b/>
                <w:bCs/>
                <w:sz w:val="20"/>
                <w:szCs w:val="20"/>
              </w:rPr>
              <w:t xml:space="preserve">SMM from coded variables</w:t>
            </w:r>
          </w:p>
        </w:tc>
        <w:tc>
          <w:tcPr>
            <w:tcW w:type="dxa" w:w="64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sz w:val="20"/>
                <w:szCs w:val="20"/>
              </w:rPr>
              <w:t xml:space="preserve">Event_Related variables (value 1 or 2 triggers SMM=1). Adverse_Event_v1, Checked, Yes_No_v1/v4/v5 variables (value = 1 triggers SMM=1). Uses is_value() helper with numeric coercion.</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6</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b/>
                <w:bCs/>
                <w:sz w:val="20"/>
                <w:szCs w:val="20"/>
              </w:rPr>
              <w:t xml:space="preserve">Combine all SMM triggers</w:t>
            </w:r>
          </w:p>
        </w:tc>
        <w:tc>
          <w:tcPr>
            <w:tcW w:type="dxa" w:w="6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SMM = 1 if ANY of: coded numeric trigger, exact SP match, or dict keyword match fires. Final column: SMM (integer 0/1).</w:t>
            </w:r>
          </w:p>
        </w:tc>
      </w:tr>
      <w:tr>
        <w:tc>
          <w:tcPr>
            <w:tcW w:type="dxa" w:w="7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sz w:val="20"/>
                <w:szCs w:val="20"/>
              </w:rPr>
              <w:t xml:space="preserve">7</w:t>
            </w:r>
          </w:p>
        </w:tc>
        <w:tc>
          <w:tcPr>
            <w:tcW w:type="dxa" w:w="2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b/>
                <w:bCs/>
                <w:sz w:val="20"/>
                <w:szCs w:val="20"/>
              </w:rPr>
              <w:t xml:space="preserve">SMM attribution table</w:t>
            </w:r>
          </w:p>
        </w:tc>
        <w:tc>
          <w:tcPr>
            <w:tcW w:type="dxa" w:w="64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sz w:val="20"/>
                <w:szCs w:val="20"/>
              </w:rPr>
              <w:t xml:space="preserve">Breaks down SMM=1 cases by detection method: numeric only, text only, both. Reports N and % of total cohort and of SMM=1 cases.</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8</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b/>
                <w:bCs/>
                <w:sz w:val="20"/>
                <w:szCs w:val="20"/>
              </w:rPr>
              <w:t xml:space="preserve">Save merged datasets</w:t>
            </w:r>
          </w:p>
        </w:tc>
        <w:tc>
          <w:tcPr>
            <w:tcW w:type="dxa" w:w="6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Merges SMM with blue variables from s1 (Dataset 1 = blue + SMM). Adds CMAC15 ICD-code columns from merged dataset (Dataset 2 = blue + SMM + CMAC15 columns). Saves 4 files.</w:t>
            </w:r>
          </w:p>
        </w:tc>
      </w:tr>
      <w:tr>
        <w:tc>
          <w:tcPr>
            <w:tcW w:type="dxa" w:w="7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sz w:val="20"/>
                <w:szCs w:val="20"/>
              </w:rPr>
              <w:t xml:space="preserve">9</w:t>
            </w:r>
          </w:p>
        </w:tc>
        <w:tc>
          <w:tcPr>
            <w:tcW w:type="dxa" w:w="2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b/>
                <w:bCs/>
                <w:sz w:val="20"/>
                <w:szCs w:val="20"/>
              </w:rPr>
              <w:t xml:space="preserve">Final missing rate check</w:t>
            </w:r>
          </w:p>
        </w:tc>
        <w:tc>
          <w:tcPr>
            <w:tcW w:type="dxa" w:w="64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sz w:val="20"/>
                <w:szCs w:val="20"/>
              </w:rPr>
              <w:t xml:space="preserve">Recomputes missing rate for all variables in v2_1_blue_with_SMM.csv as a post-merge QC step.</w:t>
            </w:r>
          </w:p>
        </w:tc>
      </w:tr>
    </w:tbl>
    <w:p>
      <w:pPr>
        <w:spacing w:after="60"/>
      </w:pPr>
      <w:r>
        <w:t xml:space="preserve"/>
      </w:r>
    </w:p>
    <w:p>
      <w:pPr>
        <w:pStyle w:val="Heading2"/>
      </w:pPr>
      <w:r>
        <w:rPr>
          <w:rFonts w:ascii="Arial" w:cs="Arial" w:eastAsia="Arial" w:hAnsi="Arial"/>
          <w:b/>
          <w:bCs/>
          <w:sz w:val="26"/>
          <w:szCs w:val="26"/>
        </w:rPr>
        <w:t xml:space="preserve">4.3 SMM Dictionary Domains</w:t>
      </w:r>
    </w:p>
    <w:p>
      <w:pPr>
        <w:spacing w:after="80"/>
      </w:pPr>
      <w:r>
        <w:rPr>
          <w:rFonts w:ascii="Arial" w:cs="Arial" w:eastAsia="Arial" w:hAnsi="Arial"/>
          <w:sz w:val="22"/>
          <w:szCs w:val="22"/>
        </w:rPr>
        <w:t xml:space="preserve">The smm_dict used in keyword matching covers 17 clinical domains: (1) SMM core terms, (2) transfusion / hemorrhage, (3) hypertensive disorders, (4) infection / sepsis, (5) thromboembolic events, (6) amniotic fluid embolism, (7) sickle cell disease, (8) disseminated intravascular coagulation, (9) respiratory failure / ARDS, (10) cardiac arrest / cardiomyopathy, (11) puerperal cerebrovascular disorders, (12) neurological (stroke, seizure), (13) renal / hepatic failure, (14) aneurysm / aortic dissection, (15) hysterectomy, (16) tracheostomy, (17) anesthesia-related complications.</w:t>
      </w:r>
    </w:p>
    <w:p>
      <w:pPr>
        <w:spacing w:after="60"/>
      </w:pPr>
      <w:r>
        <w:t xml:space="preserve"/>
      </w:r>
    </w:p>
    <w:p>
      <w:pPr>
        <w:pStyle w:val="Heading2"/>
      </w:pPr>
      <w:r>
        <w:rPr>
          <w:rFonts w:ascii="Arial" w:cs="Arial" w:eastAsia="Arial" w:hAnsi="Arial"/>
          <w:b/>
          <w:bCs/>
          <w:sz w:val="26"/>
          <w:szCs w:val="26"/>
        </w:rPr>
        <w:t xml:space="preserve">4.4 Output Files (outputs/s3/)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4A7B9D" w:val="clear"/>
            <w:tcMar>
              <w:top w:type="dxa" w:w="80"/>
              <w:left w:type="dxa" w:w="120"/>
              <w:bottom w:type="dxa" w:w="80"/>
              <w:right w:type="dxa" w:w="80"/>
            </w:tcMar>
          </w:tcPr>
          <w:p>
            <w:r>
              <w:rPr>
                <w:rFonts w:ascii="Arial" w:cs="Arial" w:eastAsia="Arial" w:hAnsi="Arial"/>
                <w:b/>
                <w:bCs/>
                <w:color w:val="FFFFFF"/>
                <w:sz w:val="20"/>
                <w:szCs w:val="20"/>
              </w:rPr>
              <w:t xml:space="preserve">Output File</w:t>
            </w:r>
          </w:p>
        </w:tc>
        <w:tc>
          <w:tcPr>
            <w:tcW w:type="dxa" w:w="5760"/>
            <w:tcBorders>
              <w:top w:val="single" w:color="AAAAAA" w:sz="1"/>
              <w:left w:val="single" w:color="AAAAAA" w:sz="1"/>
              <w:bottom w:val="single" w:color="AAAAAA" w:sz="1"/>
              <w:right w:val="single" w:color="AAAAAA" w:sz="1"/>
            </w:tcBorders>
            <w:shd w:fill="4A7B9D"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r>
      <w:tr>
        <w:tc>
          <w:tcPr>
            <w:tcW w:type="dxa" w:w="3600"/>
            <w:tcBorders>
              <w:top w:val="single" w:color="AAAAAA" w:sz="1"/>
              <w:left w:val="single" w:color="AAAAAA" w:sz="1"/>
              <w:bottom w:val="single" w:color="AAAAAA" w:sz="1"/>
              <w:right w:val="single" w:color="AAAAAA" w:sz="1"/>
            </w:tcBorders>
            <w:shd w:fill="F0F6FA" w:val="clear"/>
            <w:tcMar>
              <w:top w:type="dxa" w:w="80"/>
              <w:left w:type="dxa" w:w="120"/>
              <w:bottom w:type="dxa" w:w="80"/>
              <w:right w:type="dxa" w:w="80"/>
            </w:tcMar>
          </w:tcPr>
          <w:p>
            <w:r>
              <w:rPr>
                <w:rFonts w:ascii="Courier New" w:cs="Courier New" w:eastAsia="Courier New" w:hAnsi="Courier New"/>
                <w:sz w:val="18"/>
                <w:szCs w:val="18"/>
              </w:rPr>
              <w:t xml:space="preserve">v1_1_pink_remaining_code_lookup.csv</w:t>
            </w:r>
          </w:p>
        </w:tc>
        <w:tc>
          <w:tcPr>
            <w:tcW w:type="dxa" w:w="5760"/>
            <w:tcBorders>
              <w:top w:val="single" w:color="AAAAAA" w:sz="1"/>
              <w:left w:val="single" w:color="AAAAAA" w:sz="1"/>
              <w:bottom w:val="single" w:color="AAAAAA" w:sz="1"/>
              <w:right w:val="single" w:color="AAAAAA" w:sz="1"/>
            </w:tcBorders>
            <w:shd w:fill="F0F6FA" w:val="clear"/>
            <w:tcMar>
              <w:top w:type="dxa" w:w="80"/>
              <w:left w:type="dxa" w:w="120"/>
              <w:bottom w:type="dxa" w:w="80"/>
              <w:right w:type="dxa" w:w="80"/>
            </w:tcMar>
          </w:tcPr>
          <w:p>
            <w:r>
              <w:rPr>
                <w:rFonts w:ascii="Arial" w:cs="Arial" w:eastAsia="Arial" w:hAnsi="Arial"/>
                <w:sz w:val="20"/>
                <w:szCs w:val="20"/>
              </w:rPr>
              <w:t xml:space="preserve">Variable_Code_List_if_Coded for all remaining pink variables after Step 1 removal</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Courier New" w:cs="Courier New" w:eastAsia="Courier New" w:hAnsi="Courier New"/>
                <w:sz w:val="18"/>
                <w:szCs w:val="18"/>
              </w:rPr>
              <w:t xml:space="preserve">v1_2_code_value_summary.csv</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Count of variables per code type</w:t>
            </w:r>
          </w:p>
        </w:tc>
      </w:tr>
      <w:tr>
        <w:tc>
          <w:tcPr>
            <w:tcW w:type="dxa" w:w="3600"/>
            <w:tcBorders>
              <w:top w:val="single" w:color="AAAAAA" w:sz="1"/>
              <w:left w:val="single" w:color="AAAAAA" w:sz="1"/>
              <w:bottom w:val="single" w:color="AAAAAA" w:sz="1"/>
              <w:right w:val="single" w:color="AAAAAA" w:sz="1"/>
            </w:tcBorders>
            <w:shd w:fill="F0F6FA" w:val="clear"/>
            <w:tcMar>
              <w:top w:type="dxa" w:w="80"/>
              <w:left w:type="dxa" w:w="120"/>
              <w:bottom w:type="dxa" w:w="80"/>
              <w:right w:type="dxa" w:w="80"/>
            </w:tcMar>
          </w:tcPr>
          <w:p>
            <w:r>
              <w:rPr>
                <w:rFonts w:ascii="Courier New" w:cs="Courier New" w:eastAsia="Courier New" w:hAnsi="Courier New"/>
                <w:sz w:val="18"/>
                <w:szCs w:val="18"/>
              </w:rPr>
              <w:t xml:space="preserve">v1_3_pink_with_SMM.csv / .rds</w:t>
            </w:r>
          </w:p>
        </w:tc>
        <w:tc>
          <w:tcPr>
            <w:tcW w:type="dxa" w:w="5760"/>
            <w:tcBorders>
              <w:top w:val="single" w:color="AAAAAA" w:sz="1"/>
              <w:left w:val="single" w:color="AAAAAA" w:sz="1"/>
              <w:bottom w:val="single" w:color="AAAAAA" w:sz="1"/>
              <w:right w:val="single" w:color="AAAAAA" w:sz="1"/>
            </w:tcBorders>
            <w:shd w:fill="F0F6FA" w:val="clear"/>
            <w:tcMar>
              <w:top w:type="dxa" w:w="80"/>
              <w:left w:type="dxa" w:w="120"/>
              <w:bottom w:type="dxa" w:w="80"/>
              <w:right w:type="dxa" w:w="80"/>
            </w:tcMar>
          </w:tcPr>
          <w:p>
            <w:r>
              <w:rPr>
                <w:rFonts w:ascii="Arial" w:cs="Arial" w:eastAsia="Arial" w:hAnsi="Arial"/>
                <w:sz w:val="20"/>
                <w:szCs w:val="20"/>
              </w:rPr>
              <w:t xml:space="preserve">Full pink variable dataset (post-removal) with SMM column appended</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Courier New" w:cs="Courier New" w:eastAsia="Courier New" w:hAnsi="Courier New"/>
                <w:sz w:val="18"/>
                <w:szCs w:val="18"/>
              </w:rPr>
              <w:t xml:space="preserve">v1_4_SMM_final.csv / .rds</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PublicID + SMM only (key-value pair for joining)</w:t>
            </w:r>
          </w:p>
        </w:tc>
      </w:tr>
      <w:tr>
        <w:tc>
          <w:tcPr>
            <w:tcW w:type="dxa" w:w="3600"/>
            <w:tcBorders>
              <w:top w:val="single" w:color="AAAAAA" w:sz="1"/>
              <w:left w:val="single" w:color="AAAAAA" w:sz="1"/>
              <w:bottom w:val="single" w:color="AAAAAA" w:sz="1"/>
              <w:right w:val="single" w:color="AAAAAA" w:sz="1"/>
            </w:tcBorders>
            <w:shd w:fill="F0F6FA" w:val="clear"/>
            <w:tcMar>
              <w:top w:type="dxa" w:w="80"/>
              <w:left w:type="dxa" w:w="120"/>
              <w:bottom w:type="dxa" w:w="80"/>
              <w:right w:type="dxa" w:w="80"/>
            </w:tcMar>
          </w:tcPr>
          <w:p>
            <w:r>
              <w:rPr>
                <w:rFonts w:ascii="Courier New" w:cs="Courier New" w:eastAsia="Courier New" w:hAnsi="Courier New"/>
                <w:sz w:val="18"/>
                <w:szCs w:val="18"/>
              </w:rPr>
              <w:t xml:space="preserve">v2_1_blue_with_SMM.csv</w:t>
            </w:r>
          </w:p>
        </w:tc>
        <w:tc>
          <w:tcPr>
            <w:tcW w:type="dxa" w:w="5760"/>
            <w:tcBorders>
              <w:top w:val="single" w:color="AAAAAA" w:sz="1"/>
              <w:left w:val="single" w:color="AAAAAA" w:sz="1"/>
              <w:bottom w:val="single" w:color="AAAAAA" w:sz="1"/>
              <w:right w:val="single" w:color="AAAAAA" w:sz="1"/>
            </w:tcBorders>
            <w:shd w:fill="F0F6FA" w:val="clear"/>
            <w:tcMar>
              <w:top w:type="dxa" w:w="80"/>
              <w:left w:type="dxa" w:w="120"/>
              <w:bottom w:type="dxa" w:w="80"/>
              <w:right w:type="dxa" w:w="80"/>
            </w:tcMar>
          </w:tcPr>
          <w:p>
            <w:r>
              <w:rPr>
                <w:rFonts w:ascii="Arial" w:cs="Arial" w:eastAsia="Arial" w:hAnsi="Arial"/>
                <w:sz w:val="20"/>
                <w:szCs w:val="20"/>
              </w:rPr>
              <w:t xml:space="preserve">Primary modeling dataset: 35 blue predictors + SMM (primary ML input)</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Courier New" w:cs="Courier New" w:eastAsia="Courier New" w:hAnsi="Courier New"/>
                <w:sz w:val="18"/>
                <w:szCs w:val="18"/>
              </w:rPr>
              <w:t xml:space="preserve">v2_2_blue_with_SMM_extended.csv</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v2_1 extended with CMAC15 ICD-based delivery complication columns</w:t>
            </w:r>
          </w:p>
        </w:tc>
      </w:tr>
    </w:tbl>
    <w:p>
      <w:pPr>
        <w:pBdr>
          <w:bottom w:val="single" w:color="2E4057" w:sz="4" w:space="1"/>
        </w:pBdr>
        <w:spacing w:after="200" w:before="200"/>
      </w:pPr>
    </w:p>
    <w:p>
      <w:pPr>
        <w:pStyle w:val="Heading1"/>
      </w:pPr>
      <w:r>
        <w:rPr>
          <w:rFonts w:ascii="Arial" w:cs="Arial" w:eastAsia="Arial" w:hAnsi="Arial"/>
          <w:b/>
          <w:bCs/>
          <w:sz w:val="32"/>
          <w:szCs w:val="32"/>
        </w:rPr>
        <w:t xml:space="preserve">5. s4 — ML Pipeline (v1–v4)</w:t>
      </w:r>
    </w:p>
    <w:p>
      <w:pPr>
        <w:spacing w:after="80"/>
      </w:pPr>
      <w:r>
        <w:rPr>
          <w:rFonts w:ascii="Arial" w:cs="Arial" w:eastAsia="Arial" w:hAnsi="Arial"/>
          <w:i/>
          <w:iCs/>
          <w:sz w:val="22"/>
          <w:szCs w:val="22"/>
        </w:rPr>
        <w:t xml:space="preserve">Files: s4_ml_pipeline.ipynb, s4_ml_pipeline_v2.ipynb, s4_ml_pipeline_v2_cvloop.ipynb, s4_ml_pipeline_v3.ipynb, s4_ml_pipeline_v4.ipynb</w:t>
      </w:r>
    </w:p>
    <w:p>
      <w:pPr>
        <w:spacing w:after="80"/>
      </w:pPr>
      <w:r>
        <w:rPr>
          <w:rFonts w:ascii="Arial" w:cs="Arial" w:eastAsia="Arial" w:hAnsi="Arial"/>
          <w:sz w:val="22"/>
          <w:szCs w:val="22"/>
        </w:rPr>
        <w:t xml:space="preserve">Language: Python  |  Output directory: outputs/s4/{v1,v2,v3,v4}/</w:t>
      </w:r>
    </w:p>
    <w:p>
      <w:pPr>
        <w:spacing w:after="60"/>
      </w:pPr>
      <w:r>
        <w:t xml:space="preserve"/>
      </w:r>
    </w:p>
    <w:p>
      <w:pPr>
        <w:pStyle w:val="Heading2"/>
      </w:pPr>
      <w:r>
        <w:rPr>
          <w:rFonts w:ascii="Arial" w:cs="Arial" w:eastAsia="Arial" w:hAnsi="Arial"/>
          <w:b/>
          <w:bCs/>
          <w:sz w:val="26"/>
          <w:szCs w:val="26"/>
        </w:rPr>
        <w:t xml:space="preserve">5.1 Purpose</w:t>
      </w:r>
    </w:p>
    <w:p>
      <w:pPr>
        <w:spacing w:after="80"/>
      </w:pPr>
      <w:r>
        <w:rPr>
          <w:rFonts w:ascii="Arial" w:cs="Arial" w:eastAsia="Arial" w:hAnsi="Arial"/>
          <w:sz w:val="22"/>
          <w:szCs w:val="22"/>
        </w:rPr>
        <w:t xml:space="preserve">Trains and evaluates machine learning classifiers for SMM prediction using the 35-variable blue predictor dataset with the SMM outcome. The pipeline iterates across four versions with progressively refined imbalance-handling and model selection strategies.</w:t>
      </w:r>
    </w:p>
    <w:p>
      <w:pPr>
        <w:spacing w:after="60"/>
      </w:pPr>
      <w:r>
        <w:t xml:space="preserve"/>
      </w:r>
    </w:p>
    <w:p>
      <w:pPr>
        <w:pStyle w:val="Heading2"/>
      </w:pPr>
      <w:r>
        <w:rPr>
          <w:rFonts w:ascii="Arial" w:cs="Arial" w:eastAsia="Arial" w:hAnsi="Arial"/>
          <w:b/>
          <w:bCs/>
          <w:sz w:val="26"/>
          <w:szCs w:val="26"/>
        </w:rPr>
        <w:t xml:space="preserve">5.2 Shared Pipeline Steps (All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c>
          <w:tcPr>
            <w:tcW w:type="dxa" w:w="72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80"/>
            </w:tcMar>
          </w:tcPr>
          <w:p>
            <w:r>
              <w:rPr>
                <w:rFonts w:ascii="Arial" w:cs="Arial" w:eastAsia="Arial" w:hAnsi="Arial"/>
                <w:b/>
                <w:bCs/>
                <w:color w:val="FFFFFF"/>
                <w:sz w:val="20"/>
                <w:szCs w:val="20"/>
              </w:rPr>
              <w:t xml:space="preserve">Step</w:t>
            </w:r>
          </w:p>
        </w:tc>
        <w:tc>
          <w:tcPr>
            <w:tcW w:type="dxa" w:w="21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80"/>
            </w:tcMar>
          </w:tcPr>
          <w:p>
            <w:r>
              <w:rPr>
                <w:rFonts w:ascii="Arial" w:cs="Arial" w:eastAsia="Arial" w:hAnsi="Arial"/>
                <w:b/>
                <w:bCs/>
                <w:color w:val="FFFFFF"/>
                <w:sz w:val="20"/>
                <w:szCs w:val="20"/>
              </w:rPr>
              <w:t xml:space="preserve">Title</w:t>
            </w:r>
          </w:p>
        </w:tc>
        <w:tc>
          <w:tcPr>
            <w:tcW w:type="dxa" w:w="648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r>
      <w:tr>
        <w:tc>
          <w:tcPr>
            <w:tcW w:type="dxa" w:w="7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sz w:val="20"/>
                <w:szCs w:val="20"/>
              </w:rPr>
              <w:t xml:space="preserve">1</w:t>
            </w:r>
          </w:p>
        </w:tc>
        <w:tc>
          <w:tcPr>
            <w:tcW w:type="dxa" w:w="2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b/>
                <w:bCs/>
                <w:sz w:val="20"/>
                <w:szCs w:val="20"/>
              </w:rPr>
              <w:t xml:space="preserve">Load data</w:t>
            </w:r>
          </w:p>
        </w:tc>
        <w:tc>
          <w:tcPr>
            <w:tcW w:type="dxa" w:w="64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sz w:val="20"/>
                <w:szCs w:val="20"/>
              </w:rPr>
              <w:t xml:space="preserve">Reads v2_1_blue_with_SMM.csv. Reports SMM distribution and prevalence rate.</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2</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b/>
                <w:bCs/>
                <w:sz w:val="20"/>
                <w:szCs w:val="20"/>
              </w:rPr>
              <w:t xml:space="preserve">KNN Imputation</w:t>
            </w:r>
          </w:p>
        </w:tc>
        <w:tc>
          <w:tcPr>
            <w:tcW w:type="dxa" w:w="6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KNNImputer(n_neighbors=5, weights='uniform') applied to the full dataset before splitting (entire-dataset imputation). One-hot post-processing: for Race_ and Marital_ dummy columns, argmax within each group is applied to restore a single active dummy per row after continuous KNN interpolation.</w:t>
            </w:r>
          </w:p>
        </w:tc>
      </w:tr>
      <w:tr>
        <w:tc>
          <w:tcPr>
            <w:tcW w:type="dxa" w:w="7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sz w:val="20"/>
                <w:szCs w:val="20"/>
              </w:rPr>
              <w:t xml:space="preserve">3</w:t>
            </w:r>
          </w:p>
        </w:tc>
        <w:tc>
          <w:tcPr>
            <w:tcW w:type="dxa" w:w="2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b/>
                <w:bCs/>
                <w:sz w:val="20"/>
                <w:szCs w:val="20"/>
              </w:rPr>
              <w:t xml:space="preserve">Train/Test split</w:t>
            </w:r>
          </w:p>
        </w:tc>
        <w:tc>
          <w:tcPr>
            <w:tcW w:type="dxa" w:w="64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sz w:val="20"/>
                <w:szCs w:val="20"/>
              </w:rPr>
              <w:t xml:space="preserve">Stratified 80/20 split (random_state=42, stratify=y). Preserves SMM class ratio in both sets.</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4</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b/>
                <w:bCs/>
                <w:sz w:val="20"/>
                <w:szCs w:val="20"/>
              </w:rPr>
              <w:t xml:space="preserve">Min-Max scaling</w:t>
            </w:r>
          </w:p>
        </w:tc>
        <w:tc>
          <w:tcPr>
            <w:tcW w:type="dxa" w:w="6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MinMaxScaler fit on train set only, applied to both train and test. Prevents data leakage.</w:t>
            </w:r>
          </w:p>
        </w:tc>
      </w:tr>
      <w:tr>
        <w:tc>
          <w:tcPr>
            <w:tcW w:type="dxa" w:w="7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sz w:val="20"/>
                <w:szCs w:val="20"/>
              </w:rPr>
              <w:t xml:space="preserve">5</w:t>
            </w:r>
          </w:p>
        </w:tc>
        <w:tc>
          <w:tcPr>
            <w:tcW w:type="dxa" w:w="2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b/>
                <w:bCs/>
                <w:sz w:val="20"/>
                <w:szCs w:val="20"/>
              </w:rPr>
              <w:t xml:space="preserve">Hyperparameter search</w:t>
            </w:r>
          </w:p>
        </w:tc>
        <w:tc>
          <w:tcPr>
            <w:tcW w:type="dxa" w:w="64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sz w:val="20"/>
                <w:szCs w:val="20"/>
              </w:rPr>
              <w:t xml:space="preserve">RandomizedSearchCV with RepeatedStratifiedKFold (5-fold x 3 repeats = 15 CV fits per candidate, 30–50 candidates total). Scoring metric varies by version (f1_weighted or recall).</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6</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b/>
                <w:bCs/>
                <w:sz w:val="20"/>
                <w:szCs w:val="20"/>
              </w:rPr>
              <w:t xml:space="preserve">Threshold tuning</w:t>
            </w:r>
          </w:p>
        </w:tc>
        <w:tc>
          <w:tcPr>
            <w:tcW w:type="dxa" w:w="6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find_best_threshold() sweeps thresholds 0.10–0.89 (step 0.01) to maximize F1. Reports metrics at both default (0.50) and optimized thresholds.</w:t>
            </w:r>
          </w:p>
        </w:tc>
      </w:tr>
      <w:tr>
        <w:tc>
          <w:tcPr>
            <w:tcW w:type="dxa" w:w="7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sz w:val="20"/>
                <w:szCs w:val="20"/>
              </w:rPr>
              <w:t xml:space="preserve">7</w:t>
            </w:r>
          </w:p>
        </w:tc>
        <w:tc>
          <w:tcPr>
            <w:tcW w:type="dxa" w:w="2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b/>
                <w:bCs/>
                <w:sz w:val="20"/>
                <w:szCs w:val="20"/>
              </w:rPr>
              <w:t xml:space="preserve">Evaluation metrics</w:t>
            </w:r>
          </w:p>
        </w:tc>
        <w:tc>
          <w:tcPr>
            <w:tcW w:type="dxa" w:w="64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80"/>
            </w:tcMar>
          </w:tcPr>
          <w:p>
            <w:r>
              <w:rPr>
                <w:rFonts w:ascii="Arial" w:cs="Arial" w:eastAsia="Arial" w:hAnsi="Arial"/>
                <w:sz w:val="20"/>
                <w:szCs w:val="20"/>
              </w:rPr>
              <w:t xml:space="preserve">AUC-ROC, AUC-PR (average precision), F1-macro, F1-weighted, Sensitivity (Recall), Specificity, PPV, NPV. ROC curve + confusion matrix saved as PNG.</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8</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b/>
                <w:bCs/>
                <w:sz w:val="20"/>
                <w:szCs w:val="20"/>
              </w:rPr>
              <w:t xml:space="preserve">Save outputs</w:t>
            </w:r>
          </w:p>
        </w:tc>
        <w:tc>
          <w:tcPr>
            <w:tcW w:type="dxa" w:w="6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model_comparison.csv (all threshold variants), best_params.csv, ROC/CM plots, CV results CSV, feature importance plots.</w:t>
            </w:r>
          </w:p>
        </w:tc>
      </w:tr>
    </w:tbl>
    <w:p>
      <w:pPr>
        <w:spacing w:after="60"/>
      </w:pPr>
      <w:r>
        <w:t xml:space="preserve"/>
      </w:r>
    </w:p>
    <w:p>
      <w:pPr>
        <w:pStyle w:val="Heading2"/>
      </w:pPr>
      <w:r>
        <w:rPr>
          <w:rFonts w:ascii="Arial" w:cs="Arial" w:eastAsia="Arial" w:hAnsi="Arial"/>
          <w:b/>
          <w:bCs/>
          <w:sz w:val="26"/>
          <w:szCs w:val="26"/>
        </w:rPr>
        <w:t xml:space="preserve">5.3 Version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v1</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RF + XGBoost; SMOTE-Tomek resampling for class imbalance; scoring = f1_weighted; N_ITER = 50</w:t>
            </w:r>
          </w:p>
        </w:tc>
      </w:tr>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v2</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RF + XGBoost; SMOTE-Tomek resampling; added CV results logging and extended search space</w:t>
            </w:r>
          </w:p>
        </w:tc>
      </w:tr>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v2_cvloop</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Variant of v2 with additional cross-validation diagnostics loop</w:t>
            </w:r>
          </w:p>
        </w:tc>
      </w:tr>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v3</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RF + XGBoost; no SMOTE; class_weight='balanced' in RF, scale_pos_weight in XGB; scoring = recall; N_ITER = 30</w:t>
            </w:r>
          </w:p>
        </w:tc>
      </w:tr>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v4</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LightGBM replaces XGBoost; no SMOTE; is_unbalance=True in LGBM; scoring = f1_weighted; N_ITER = 50; num_leaves and min_child_samples tuned</w:t>
            </w:r>
          </w:p>
        </w:tc>
      </w:tr>
    </w:tbl>
    <w:p>
      <w:pPr>
        <w:spacing w:after="60"/>
      </w:pPr>
      <w:r>
        <w:t xml:space="preserve"/>
      </w:r>
    </w:p>
    <w:p>
      <w:pPr>
        <w:pStyle w:val="Heading2"/>
      </w:pPr>
      <w:r>
        <w:rPr>
          <w:rFonts w:ascii="Arial" w:cs="Arial" w:eastAsia="Arial" w:hAnsi="Arial"/>
          <w:b/>
          <w:bCs/>
          <w:sz w:val="26"/>
          <w:szCs w:val="26"/>
        </w:rPr>
        <w:t xml:space="preserve">5.4 Model Hyperparameter Search Spaces</w:t>
      </w:r>
    </w:p>
    <w:p>
      <w:pPr>
        <w:pStyle w:val="Heading3"/>
      </w:pPr>
      <w:r>
        <w:rPr>
          <w:rFonts w:ascii="Arial" w:cs="Arial" w:eastAsia="Arial" w:hAnsi="Arial"/>
          <w:b/>
          <w:bCs/>
          <w:color w:val="2E4057"/>
          <w:sz w:val="24"/>
          <w:szCs w:val="24"/>
        </w:rPr>
        <w:t xml:space="preserve">Random Forest (v1–v3)</w:t>
      </w:r>
    </w:p>
    <w:p>
      <w:pPr>
        <w:spacing w:after="80"/>
      </w:pPr>
      <w:r>
        <w:rPr>
          <w:rFonts w:ascii="Arial" w:cs="Arial" w:eastAsia="Arial" w:hAnsi="Arial"/>
          <w:sz w:val="22"/>
          <w:szCs w:val="22"/>
        </w:rPr>
        <w:t xml:space="preserve">n_estimators: randint(200, 1000)  |  max_depth: randint(3, 20)  |  min_samples_split: randint(2, 20)  |  min_samples_leaf: randint(1, 10)  |  max_features: ['sqrt', 'log2', None]  |  class_weight: 'balanced'</w:t>
      </w:r>
    </w:p>
    <w:p>
      <w:pPr>
        <w:spacing w:after="60"/>
      </w:pPr>
      <w:r>
        <w:t xml:space="preserve"/>
      </w:r>
    </w:p>
    <w:p>
      <w:pPr>
        <w:pStyle w:val="Heading3"/>
      </w:pPr>
      <w:r>
        <w:rPr>
          <w:rFonts w:ascii="Arial" w:cs="Arial" w:eastAsia="Arial" w:hAnsi="Arial"/>
          <w:b/>
          <w:bCs/>
          <w:color w:val="2E4057"/>
          <w:sz w:val="24"/>
          <w:szCs w:val="24"/>
        </w:rPr>
        <w:t xml:space="preserve">XGBoost (v1–v3)</w:t>
      </w:r>
    </w:p>
    <w:p>
      <w:pPr>
        <w:spacing w:after="80"/>
      </w:pPr>
      <w:r>
        <w:rPr>
          <w:rFonts w:ascii="Arial" w:cs="Arial" w:eastAsia="Arial" w:hAnsi="Arial"/>
          <w:sz w:val="22"/>
          <w:szCs w:val="22"/>
        </w:rPr>
        <w:t xml:space="preserve">n_estimators: randint(200, 800)  |  max_depth: randint(3, 10)  |  learning_rate: uniform(0.01, 0.2)  |  subsample: uniform(0.6, 0.4)  |  colsample_bytree: uniform(0.6, 0.4)  |  scale_pos_weight: computed from class ratio  |  reg_alpha / reg_lambda: uniform</w:t>
      </w:r>
    </w:p>
    <w:p>
      <w:pPr>
        <w:spacing w:after="60"/>
      </w:pPr>
      <w:r>
        <w:t xml:space="preserve"/>
      </w:r>
    </w:p>
    <w:p>
      <w:pPr>
        <w:pStyle w:val="Heading3"/>
      </w:pPr>
      <w:r>
        <w:rPr>
          <w:rFonts w:ascii="Arial" w:cs="Arial" w:eastAsia="Arial" w:hAnsi="Arial"/>
          <w:b/>
          <w:bCs/>
          <w:color w:val="2E4057"/>
          <w:sz w:val="24"/>
          <w:szCs w:val="24"/>
        </w:rPr>
        <w:t xml:space="preserve">LightGBM (v4)</w:t>
      </w:r>
    </w:p>
    <w:p>
      <w:pPr>
        <w:spacing w:after="80"/>
      </w:pPr>
      <w:r>
        <w:rPr>
          <w:rFonts w:ascii="Arial" w:cs="Arial" w:eastAsia="Arial" w:hAnsi="Arial"/>
          <w:sz w:val="22"/>
          <w:szCs w:val="22"/>
        </w:rPr>
        <w:t xml:space="preserve">n_estimators: randint(300, 1000)  |  max_depth: randint(3, 10)  |  learning_rate: uniform(0.01, 0.1)  |  num_leaves: randint(20, 100)  |  min_child_samples: randint(5, 50)  |  subsample: uniform(0.6, 0.4)  |  colsample_bytree: uniform(0.6, 0.4)  |  reg_alpha: uniform(0.0, 1.0)  |  reg_lambda: uniform(0.0, 2.0)  |  is_unbalance: True</w:t>
      </w:r>
    </w:p>
    <w:p>
      <w:pPr>
        <w:spacing w:after="60"/>
      </w:pPr>
      <w:r>
        <w:t xml:space="preserve"/>
      </w:r>
    </w:p>
    <w:p>
      <w:pPr>
        <w:pStyle w:val="Heading2"/>
      </w:pPr>
      <w:r>
        <w:rPr>
          <w:rFonts w:ascii="Arial" w:cs="Arial" w:eastAsia="Arial" w:hAnsi="Arial"/>
          <w:b/>
          <w:bCs/>
          <w:sz w:val="26"/>
          <w:szCs w:val="26"/>
        </w:rPr>
        <w:t xml:space="preserve">5.5 Output Files (outputs/s4/{version}/)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4A7B9D" w:val="clear"/>
            <w:tcMar>
              <w:top w:type="dxa" w:w="80"/>
              <w:left w:type="dxa" w:w="120"/>
              <w:bottom w:type="dxa" w:w="80"/>
              <w:right w:type="dxa" w:w="80"/>
            </w:tcMar>
          </w:tcPr>
          <w:p>
            <w:r>
              <w:rPr>
                <w:rFonts w:ascii="Arial" w:cs="Arial" w:eastAsia="Arial" w:hAnsi="Arial"/>
                <w:b/>
                <w:bCs/>
                <w:color w:val="FFFFFF"/>
                <w:sz w:val="20"/>
                <w:szCs w:val="20"/>
              </w:rPr>
              <w:t xml:space="preserve">Output File</w:t>
            </w:r>
          </w:p>
        </w:tc>
        <w:tc>
          <w:tcPr>
            <w:tcW w:type="dxa" w:w="5760"/>
            <w:tcBorders>
              <w:top w:val="single" w:color="AAAAAA" w:sz="1"/>
              <w:left w:val="single" w:color="AAAAAA" w:sz="1"/>
              <w:bottom w:val="single" w:color="AAAAAA" w:sz="1"/>
              <w:right w:val="single" w:color="AAAAAA" w:sz="1"/>
            </w:tcBorders>
            <w:shd w:fill="4A7B9D"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r>
      <w:tr>
        <w:tc>
          <w:tcPr>
            <w:tcW w:type="dxa" w:w="3600"/>
            <w:tcBorders>
              <w:top w:val="single" w:color="AAAAAA" w:sz="1"/>
              <w:left w:val="single" w:color="AAAAAA" w:sz="1"/>
              <w:bottom w:val="single" w:color="AAAAAA" w:sz="1"/>
              <w:right w:val="single" w:color="AAAAAA" w:sz="1"/>
            </w:tcBorders>
            <w:shd w:fill="F0F6FA" w:val="clear"/>
            <w:tcMar>
              <w:top w:type="dxa" w:w="80"/>
              <w:left w:type="dxa" w:w="120"/>
              <w:bottom w:type="dxa" w:w="80"/>
              <w:right w:type="dxa" w:w="80"/>
            </w:tcMar>
          </w:tcPr>
          <w:p>
            <w:r>
              <w:rPr>
                <w:rFonts w:ascii="Courier New" w:cs="Courier New" w:eastAsia="Courier New" w:hAnsi="Courier New"/>
                <w:sz w:val="18"/>
                <w:szCs w:val="18"/>
              </w:rPr>
              <w:t xml:space="preserve">model_comparison.csv</w:t>
            </w:r>
          </w:p>
        </w:tc>
        <w:tc>
          <w:tcPr>
            <w:tcW w:type="dxa" w:w="5760"/>
            <w:tcBorders>
              <w:top w:val="single" w:color="AAAAAA" w:sz="1"/>
              <w:left w:val="single" w:color="AAAAAA" w:sz="1"/>
              <w:bottom w:val="single" w:color="AAAAAA" w:sz="1"/>
              <w:right w:val="single" w:color="AAAAAA" w:sz="1"/>
            </w:tcBorders>
            <w:shd w:fill="F0F6FA" w:val="clear"/>
            <w:tcMar>
              <w:top w:type="dxa" w:w="80"/>
              <w:left w:type="dxa" w:w="120"/>
              <w:bottom w:type="dxa" w:w="80"/>
              <w:right w:type="dxa" w:w="80"/>
            </w:tcMar>
          </w:tcPr>
          <w:p>
            <w:r>
              <w:rPr>
                <w:rFonts w:ascii="Arial" w:cs="Arial" w:eastAsia="Arial" w:hAnsi="Arial"/>
                <w:sz w:val="20"/>
                <w:szCs w:val="20"/>
              </w:rPr>
              <w:t xml:space="preserve">Performance metrics at default (0.50) and optimized thresholds for each model</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Courier New" w:cs="Courier New" w:eastAsia="Courier New" w:hAnsi="Courier New"/>
                <w:sz w:val="18"/>
                <w:szCs w:val="18"/>
              </w:rPr>
              <w:t xml:space="preserve">best_params.csv</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Best hyperparameters found by RandomizedSearchCV</w:t>
            </w:r>
          </w:p>
        </w:tc>
      </w:tr>
      <w:tr>
        <w:tc>
          <w:tcPr>
            <w:tcW w:type="dxa" w:w="3600"/>
            <w:tcBorders>
              <w:top w:val="single" w:color="AAAAAA" w:sz="1"/>
              <w:left w:val="single" w:color="AAAAAA" w:sz="1"/>
              <w:bottom w:val="single" w:color="AAAAAA" w:sz="1"/>
              <w:right w:val="single" w:color="AAAAAA" w:sz="1"/>
            </w:tcBorders>
            <w:shd w:fill="F0F6FA" w:val="clear"/>
            <w:tcMar>
              <w:top w:type="dxa" w:w="80"/>
              <w:left w:type="dxa" w:w="120"/>
              <w:bottom w:type="dxa" w:w="80"/>
              <w:right w:type="dxa" w:w="80"/>
            </w:tcMar>
          </w:tcPr>
          <w:p>
            <w:r>
              <w:rPr>
                <w:rFonts w:ascii="Courier New" w:cs="Courier New" w:eastAsia="Courier New" w:hAnsi="Courier New"/>
                <w:sz w:val="18"/>
                <w:szCs w:val="18"/>
              </w:rPr>
              <w:t xml:space="preserve">{model}_cv_results.csv</w:t>
            </w:r>
          </w:p>
        </w:tc>
        <w:tc>
          <w:tcPr>
            <w:tcW w:type="dxa" w:w="5760"/>
            <w:tcBorders>
              <w:top w:val="single" w:color="AAAAAA" w:sz="1"/>
              <w:left w:val="single" w:color="AAAAAA" w:sz="1"/>
              <w:bottom w:val="single" w:color="AAAAAA" w:sz="1"/>
              <w:right w:val="single" w:color="AAAAAA" w:sz="1"/>
            </w:tcBorders>
            <w:shd w:fill="F0F6FA" w:val="clear"/>
            <w:tcMar>
              <w:top w:type="dxa" w:w="80"/>
              <w:left w:type="dxa" w:w="120"/>
              <w:bottom w:type="dxa" w:w="80"/>
              <w:right w:type="dxa" w:w="80"/>
            </w:tcMar>
          </w:tcPr>
          <w:p>
            <w:r>
              <w:rPr>
                <w:rFonts w:ascii="Arial" w:cs="Arial" w:eastAsia="Arial" w:hAnsi="Arial"/>
                <w:sz w:val="20"/>
                <w:szCs w:val="20"/>
              </w:rPr>
              <w:t xml:space="preserve">Full cross-validation results for each hyperparameter candidate</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Courier New" w:cs="Courier New" w:eastAsia="Courier New" w:hAnsi="Courier New"/>
                <w:sz w:val="18"/>
                <w:szCs w:val="18"/>
              </w:rPr>
              <w:t xml:space="preserve">{model}_roc_and_cm.png</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80"/>
            </w:tcMar>
          </w:tcPr>
          <w:p>
            <w:r>
              <w:rPr>
                <w:rFonts w:ascii="Arial" w:cs="Arial" w:eastAsia="Arial" w:hAnsi="Arial"/>
                <w:sz w:val="20"/>
                <w:szCs w:val="20"/>
              </w:rPr>
              <w:t xml:space="preserve">ROC curve + confusion matrix figure (optimized threshold)</w:t>
            </w:r>
          </w:p>
        </w:tc>
      </w:tr>
      <w:tr>
        <w:tc>
          <w:tcPr>
            <w:tcW w:type="dxa" w:w="3600"/>
            <w:tcBorders>
              <w:top w:val="single" w:color="AAAAAA" w:sz="1"/>
              <w:left w:val="single" w:color="AAAAAA" w:sz="1"/>
              <w:bottom w:val="single" w:color="AAAAAA" w:sz="1"/>
              <w:right w:val="single" w:color="AAAAAA" w:sz="1"/>
            </w:tcBorders>
            <w:shd w:fill="F0F6FA" w:val="clear"/>
            <w:tcMar>
              <w:top w:type="dxa" w:w="80"/>
              <w:left w:type="dxa" w:w="120"/>
              <w:bottom w:type="dxa" w:w="80"/>
              <w:right w:type="dxa" w:w="80"/>
            </w:tcMar>
          </w:tcPr>
          <w:p>
            <w:r>
              <w:rPr>
                <w:rFonts w:ascii="Courier New" w:cs="Courier New" w:eastAsia="Courier New" w:hAnsi="Courier New"/>
                <w:sz w:val="18"/>
                <w:szCs w:val="18"/>
              </w:rPr>
              <w:t xml:space="preserve">{model}_feature_importance.png</w:t>
            </w:r>
          </w:p>
        </w:tc>
        <w:tc>
          <w:tcPr>
            <w:tcW w:type="dxa" w:w="5760"/>
            <w:tcBorders>
              <w:top w:val="single" w:color="AAAAAA" w:sz="1"/>
              <w:left w:val="single" w:color="AAAAAA" w:sz="1"/>
              <w:bottom w:val="single" w:color="AAAAAA" w:sz="1"/>
              <w:right w:val="single" w:color="AAAAAA" w:sz="1"/>
            </w:tcBorders>
            <w:shd w:fill="F0F6FA" w:val="clear"/>
            <w:tcMar>
              <w:top w:type="dxa" w:w="80"/>
              <w:left w:type="dxa" w:w="120"/>
              <w:bottom w:type="dxa" w:w="80"/>
              <w:right w:type="dxa" w:w="80"/>
            </w:tcMar>
          </w:tcPr>
          <w:p>
            <w:r>
              <w:rPr>
                <w:rFonts w:ascii="Arial" w:cs="Arial" w:eastAsia="Arial" w:hAnsi="Arial"/>
                <w:sz w:val="20"/>
                <w:szCs w:val="20"/>
              </w:rPr>
              <w:t xml:space="preserve">Top 20 feature importances bar chart (v4: LGBM importance)</w:t>
            </w:r>
          </w:p>
        </w:tc>
      </w:tr>
    </w:tbl>
    <w:p>
      <w:pPr>
        <w:pBdr>
          <w:bottom w:val="single" w:color="2E4057" w:sz="4" w:space="1"/>
        </w:pBdr>
        <w:spacing w:after="200" w:before="200"/>
      </w:pPr>
    </w:p>
    <w:p>
      <w:pPr>
        <w:pStyle w:val="Heading1"/>
      </w:pPr>
      <w:r>
        <w:rPr>
          <w:rFonts w:ascii="Arial" w:cs="Arial" w:eastAsia="Arial" w:hAnsi="Arial"/>
          <w:b/>
          <w:bCs/>
          <w:sz w:val="32"/>
          <w:szCs w:val="32"/>
        </w:rPr>
        <w:t xml:space="preserve">6. s5 — Table 1: Descriptive Statistics</w:t>
      </w:r>
    </w:p>
    <w:p>
      <w:pPr>
        <w:spacing w:after="80"/>
      </w:pPr>
      <w:r>
        <w:rPr>
          <w:rFonts w:ascii="Arial" w:cs="Arial" w:eastAsia="Arial" w:hAnsi="Arial"/>
          <w:i/>
          <w:iCs/>
          <w:sz w:val="22"/>
          <w:szCs w:val="22"/>
        </w:rPr>
        <w:t xml:space="preserve">File: s5_table1_descriptive.Rmd</w:t>
      </w:r>
    </w:p>
    <w:p>
      <w:pPr>
        <w:spacing w:after="80"/>
      </w:pPr>
      <w:r>
        <w:rPr>
          <w:rFonts w:ascii="Arial" w:cs="Arial" w:eastAsia="Arial" w:hAnsi="Arial"/>
          <w:sz w:val="22"/>
          <w:szCs w:val="22"/>
        </w:rPr>
        <w:t xml:space="preserve">Language: R  |  Output directory: outputs/s5/</w:t>
      </w:r>
    </w:p>
    <w:p>
      <w:pPr>
        <w:spacing w:after="60"/>
      </w:pPr>
      <w:r>
        <w:t xml:space="preserve"/>
      </w:r>
    </w:p>
    <w:p>
      <w:pPr>
        <w:pStyle w:val="Heading2"/>
      </w:pPr>
      <w:r>
        <w:rPr>
          <w:rFonts w:ascii="Arial" w:cs="Arial" w:eastAsia="Arial" w:hAnsi="Arial"/>
          <w:b/>
          <w:bCs/>
          <w:sz w:val="26"/>
          <w:szCs w:val="26"/>
        </w:rPr>
        <w:t xml:space="preserve">6.1 Purpose</w:t>
      </w:r>
    </w:p>
    <w:p>
      <w:pPr>
        <w:spacing w:after="80"/>
      </w:pPr>
      <w:r>
        <w:rPr>
          <w:rFonts w:ascii="Arial" w:cs="Arial" w:eastAsia="Arial" w:hAnsi="Arial"/>
          <w:sz w:val="22"/>
          <w:szCs w:val="22"/>
        </w:rPr>
        <w:t xml:space="preserve">Produces Table 1 (unstratified descriptive statistics) for the final modeling cohort. Uses gtsummary for publication-ready formatting and exports to Word (.docx).</w:t>
      </w:r>
    </w:p>
    <w:p>
      <w:pPr>
        <w:spacing w:after="60"/>
      </w:pPr>
      <w:r>
        <w:t xml:space="preserve"/>
      </w:r>
    </w:p>
    <w:p>
      <w:pPr>
        <w:pStyle w:val="Heading2"/>
      </w:pPr>
      <w:r>
        <w:rPr>
          <w:rFonts w:ascii="Arial" w:cs="Arial" w:eastAsia="Arial" w:hAnsi="Arial"/>
          <w:b/>
          <w:bCs/>
          <w:sz w:val="26"/>
          <w:szCs w:val="26"/>
        </w:rPr>
        <w:t xml:space="preserve">6.2 Variable Preparation</w:t>
      </w:r>
    </w:p>
    <w:p>
      <w:pPr>
        <w:spacing w:after="80"/>
      </w:pPr>
      <w:r>
        <w:rPr>
          <w:rFonts w:ascii="Arial" w:cs="Arial" w:eastAsia="Arial" w:hAnsi="Arial"/>
          <w:sz w:val="22"/>
          <w:szCs w:val="22"/>
        </w:rPr>
        <w:t xml:space="preserve">Reads v2_1_blue_with_SMM.csv from outputs/s3/. All factor conversions and label assignments are applied in a single mutate() block:</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Ordinal factors</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AgeCat_V1 (4 levels), Education (6 levels), V1AF10 English proficiency (4 levels), GravCat (3 levels)</w:t>
            </w:r>
          </w:p>
        </w:tc>
      </w:tr>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Race (reconstructed)</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One-hot dummies (Race_2–Race_9) are collapsed back to a single Race factor for display. Reference group (all dummies = 0) = Non-Hispanic White.</w:t>
            </w:r>
          </w:p>
        </w:tc>
      </w:tr>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Marital status (reconstructed)</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Marital_2–Marital_5 collapsed to Marital_Status factor. Reference = Married/Living with partner.</w:t>
            </w:r>
          </w:p>
        </w:tc>
      </w:tr>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Binary factors</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All 21 binary (0/1) variables converted to factor with labels No/Yes. Includes Ins, ChronHTN, Diabetes, and all clinical indicator flags.</w:t>
            </w:r>
          </w:p>
        </w:tc>
      </w:tr>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Numeric variables</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BMI, CMAC03_wks (gestational age), V3BA02a1/b1 (BP), CMAH01b4/b6/b1 (hematocrit, platelets, WBC) — reported as Mean (SD).</w:t>
            </w:r>
          </w:p>
        </w:tc>
      </w:tr>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SMM outcome</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Factor with levels No SMM / SMM (for optional stratification).</w:t>
            </w:r>
          </w:p>
        </w:tc>
      </w:tr>
    </w:tbl>
    <w:p>
      <w:pPr>
        <w:spacing w:after="60"/>
      </w:pPr>
      <w:r>
        <w:t xml:space="preserve"/>
      </w:r>
    </w:p>
    <w:p>
      <w:pPr>
        <w:pStyle w:val="Heading2"/>
      </w:pPr>
      <w:r>
        <w:rPr>
          <w:rFonts w:ascii="Arial" w:cs="Arial" w:eastAsia="Arial" w:hAnsi="Arial"/>
          <w:b/>
          <w:bCs/>
          <w:sz w:val="26"/>
          <w:szCs w:val="26"/>
        </w:rPr>
        <w:t xml:space="preserve">6.3 Table 1 Configuration</w:t>
      </w:r>
    </w:p>
    <w:p>
      <w:pPr>
        <w:spacing w:after="80"/>
      </w:pPr>
      <w:r>
        <w:rPr>
          <w:rFonts w:ascii="Arial" w:cs="Arial" w:eastAsia="Arial" w:hAnsi="Arial"/>
          <w:sz w:val="22"/>
          <w:szCs w:val="22"/>
        </w:rPr>
        <w:t xml:space="preserve">Package: gtsummary::tbl_summary(). Format: continuous = Mean (SD), categorical = n (%). Missing values reported if present (missing = 'ifany'). Digits: 2 decimal for continuous, 1 decimal for proportions. Labels defined via formula interface (list of var ~ label pairs). Bold labels applied.</w:t>
      </w:r>
    </w:p>
    <w:p>
      <w:pPr>
        <w:spacing w:after="60"/>
      </w:pPr>
      <w:r>
        <w:t xml:space="preserve"/>
      </w:r>
    </w:p>
    <w:p>
      <w:pPr>
        <w:pStyle w:val="Heading2"/>
      </w:pPr>
      <w:r>
        <w:rPr>
          <w:rFonts w:ascii="Arial" w:cs="Arial" w:eastAsia="Arial" w:hAnsi="Arial"/>
          <w:b/>
          <w:bCs/>
          <w:sz w:val="26"/>
          <w:szCs w:val="26"/>
        </w:rPr>
        <w:t xml:space="preserve">6.4 Variable Groupings in Table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Sociodemographic / SDoH</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AgeCat_V1, Education, Race, Marital_Status, V1AF10 (English proficiency), V1AF09 (years in US), GravCat, Ins</w:t>
            </w:r>
          </w:p>
        </w:tc>
      </w:tr>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Baseline Medical History</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ChronHTN, Diabetes, Asthma (VXXB01ab_FA), Sleep_Apnea, Renal disease (VXXB01al_FA), Cardiac_Disease, Autoimmune_Disease, Seizure disorder (VXXB01ac_FA), Thyroid_Disorder, Prior_Uterine_Surgery, Thrombocytopenia (VXXB01ap_FA), Bleeding_Disorder, Blood clots/stroke (VXXB01ar_FA)</w:t>
            </w:r>
          </w:p>
        </w:tc>
      </w:tr>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Late Pregnancy Clinical</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BMI, CMAC03_wks (GA at delivery), V3BA02a1/b1 (systolic/diastolic BP), CMAH01b4/b6/b1 (hematocrit/platelets/WBC), CMDA04a/b (new-onset HTN/proteinuria), CMBG01 (cerclage), A09A03b3 (suspected preeclampsia/HELLP)</w:t>
            </w:r>
          </w:p>
        </w:tc>
      </w:tr>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Behavioral</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Tobacco_Use, Alcohol_Use, Drug_Use</w:t>
            </w:r>
          </w:p>
        </w:tc>
      </w:tr>
    </w:tbl>
    <w:p>
      <w:pPr>
        <w:spacing w:after="60"/>
      </w:pPr>
      <w:r>
        <w:t xml:space="preserve"/>
      </w:r>
    </w:p>
    <w:p>
      <w:pPr>
        <w:pStyle w:val="Heading2"/>
      </w:pPr>
      <w:r>
        <w:rPr>
          <w:rFonts w:ascii="Arial" w:cs="Arial" w:eastAsia="Arial" w:hAnsi="Arial"/>
          <w:b/>
          <w:bCs/>
          <w:sz w:val="26"/>
          <w:szCs w:val="26"/>
        </w:rPr>
        <w:t xml:space="preserve">6.5 Output Files (outputs/s5/)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4A7B9D" w:val="clear"/>
            <w:tcMar>
              <w:top w:type="dxa" w:w="80"/>
              <w:left w:type="dxa" w:w="120"/>
              <w:bottom w:type="dxa" w:w="80"/>
              <w:right w:type="dxa" w:w="80"/>
            </w:tcMar>
          </w:tcPr>
          <w:p>
            <w:r>
              <w:rPr>
                <w:rFonts w:ascii="Arial" w:cs="Arial" w:eastAsia="Arial" w:hAnsi="Arial"/>
                <w:b/>
                <w:bCs/>
                <w:color w:val="FFFFFF"/>
                <w:sz w:val="20"/>
                <w:szCs w:val="20"/>
              </w:rPr>
              <w:t xml:space="preserve">Output File</w:t>
            </w:r>
          </w:p>
        </w:tc>
        <w:tc>
          <w:tcPr>
            <w:tcW w:type="dxa" w:w="5760"/>
            <w:tcBorders>
              <w:top w:val="single" w:color="AAAAAA" w:sz="1"/>
              <w:left w:val="single" w:color="AAAAAA" w:sz="1"/>
              <w:bottom w:val="single" w:color="AAAAAA" w:sz="1"/>
              <w:right w:val="single" w:color="AAAAAA" w:sz="1"/>
            </w:tcBorders>
            <w:shd w:fill="4A7B9D"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r>
      <w:tr>
        <w:tc>
          <w:tcPr>
            <w:tcW w:type="dxa" w:w="3600"/>
            <w:tcBorders>
              <w:top w:val="single" w:color="AAAAAA" w:sz="1"/>
              <w:left w:val="single" w:color="AAAAAA" w:sz="1"/>
              <w:bottom w:val="single" w:color="AAAAAA" w:sz="1"/>
              <w:right w:val="single" w:color="AAAAAA" w:sz="1"/>
            </w:tcBorders>
            <w:shd w:fill="F0F6FA" w:val="clear"/>
            <w:tcMar>
              <w:top w:type="dxa" w:w="80"/>
              <w:left w:type="dxa" w:w="120"/>
              <w:bottom w:type="dxa" w:w="80"/>
              <w:right w:type="dxa" w:w="80"/>
            </w:tcMar>
          </w:tcPr>
          <w:p>
            <w:r>
              <w:rPr>
                <w:rFonts w:ascii="Courier New" w:cs="Courier New" w:eastAsia="Courier New" w:hAnsi="Courier New"/>
                <w:sz w:val="18"/>
                <w:szCs w:val="18"/>
              </w:rPr>
              <w:t xml:space="preserve">Table1_descriptive_statistics.docx</w:t>
            </w:r>
          </w:p>
        </w:tc>
        <w:tc>
          <w:tcPr>
            <w:tcW w:type="dxa" w:w="5760"/>
            <w:tcBorders>
              <w:top w:val="single" w:color="AAAAAA" w:sz="1"/>
              <w:left w:val="single" w:color="AAAAAA" w:sz="1"/>
              <w:bottom w:val="single" w:color="AAAAAA" w:sz="1"/>
              <w:right w:val="single" w:color="AAAAAA" w:sz="1"/>
            </w:tcBorders>
            <w:shd w:fill="F0F6FA" w:val="clear"/>
            <w:tcMar>
              <w:top w:type="dxa" w:w="80"/>
              <w:left w:type="dxa" w:w="120"/>
              <w:bottom w:type="dxa" w:w="80"/>
              <w:right w:type="dxa" w:w="80"/>
            </w:tcMar>
          </w:tcPr>
          <w:p>
            <w:r>
              <w:rPr>
                <w:rFonts w:ascii="Arial" w:cs="Arial" w:eastAsia="Arial" w:hAnsi="Arial"/>
                <w:sz w:val="20"/>
                <w:szCs w:val="20"/>
              </w:rPr>
              <w:t xml:space="preserve">Publication-ready Table 1 in Word format (flextable layout via gtsummary::as_flex_table())</w:t>
            </w:r>
          </w:p>
        </w:tc>
      </w:tr>
    </w:tbl>
    <w:p>
      <w:pPr>
        <w:pBdr>
          <w:bottom w:val="single" w:color="2E4057" w:sz="4" w:space="1"/>
        </w:pBdr>
        <w:spacing w:after="200" w:before="200"/>
      </w:pPr>
    </w:p>
    <w:p>
      <w:pPr>
        <w:pStyle w:val="Heading1"/>
      </w:pPr>
      <w:r>
        <w:rPr>
          <w:rFonts w:ascii="Arial" w:cs="Arial" w:eastAsia="Arial" w:hAnsi="Arial"/>
          <w:b/>
          <w:bCs/>
          <w:sz w:val="32"/>
          <w:szCs w:val="32"/>
        </w:rPr>
        <w:t xml:space="preserve">7. Data Flow Summary</w:t>
      </w:r>
    </w:p>
    <w:p>
      <w:pPr>
        <w:spacing w:after="80"/>
      </w:pPr>
      <w:r>
        <w:rPr>
          <w:rFonts w:ascii="Arial" w:cs="Arial" w:eastAsia="Arial" w:hAnsi="Arial"/>
          <w:sz w:val="22"/>
          <w:szCs w:val="22"/>
        </w:rPr>
        <w:t xml:space="preserve">The diagram below describes the sequential data transformation across all five scripts.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nuMoM2b_Merged_Dataset.csv</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Raw input → s1 and s2</w:t>
            </w:r>
          </w:p>
        </w:tc>
      </w:tr>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s1 → v1_1_blue_variables.csv</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35 engineered predictor variables (one-hot encoded, binary merged, BMI computed)</w:t>
            </w:r>
          </w:p>
        </w:tc>
      </w:tr>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s2 → v1_2_pink_variables_clean.csv</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131 pink outcome-relevant variables, CMAE14=1 rows excluded</w:t>
            </w:r>
          </w:p>
        </w:tc>
      </w:tr>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s3 reads both ↑</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Constructs SMM column; merges with blue variables</w:t>
            </w:r>
          </w:p>
        </w:tc>
      </w:tr>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s3 → v2_1_blue_with_SMM.csv</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Primary modeling dataset: 35 predictors + SMM (used by s4 and s5)</w:t>
            </w:r>
          </w:p>
        </w:tc>
      </w:tr>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s4 reads v2_1</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KNN imputation → scale → hyperparameter search → evaluation</w:t>
            </w:r>
          </w:p>
        </w:tc>
      </w:tr>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s5 reads v2_1</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Factor encoding → gtsummary Table 1 → Word export</w:t>
            </w:r>
          </w:p>
        </w:tc>
      </w:tr>
    </w:tbl>
    <w:p>
      <w:pPr>
        <w:pBdr>
          <w:bottom w:val="single" w:color="2E4057" w:sz="4" w:space="1"/>
        </w:pBdr>
        <w:spacing w:after="200" w:before="200"/>
      </w:pPr>
    </w:p>
    <w:p>
      <w:pPr>
        <w:pStyle w:val="Heading1"/>
      </w:pPr>
      <w:r>
        <w:rPr>
          <w:rFonts w:ascii="Arial" w:cs="Arial" w:eastAsia="Arial" w:hAnsi="Arial"/>
          <w:b/>
          <w:bCs/>
          <w:sz w:val="32"/>
          <w:szCs w:val="32"/>
        </w:rPr>
        <w:t xml:space="preserve">8. Key Dependencies</w:t>
      </w:r>
    </w:p>
    <w:p>
      <w:pPr>
        <w:pStyle w:val="Heading2"/>
      </w:pPr>
      <w:r>
        <w:rPr>
          <w:rFonts w:ascii="Arial" w:cs="Arial" w:eastAsia="Arial" w:hAnsi="Arial"/>
          <w:b/>
          <w:bCs/>
          <w:sz w:val="26"/>
          <w:szCs w:val="26"/>
        </w:rPr>
        <w:t xml:space="preserve">8.1 R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readr, dplyr</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Core data loading and manipulation</w:t>
            </w:r>
          </w:p>
        </w:tc>
      </w:tr>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readxl, writexl</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Excel codebook reading and output</w:t>
            </w:r>
          </w:p>
        </w:tc>
      </w:tr>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here</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Reproducible project-relative paths (requires here::i_am() at script top)</w:t>
            </w:r>
          </w:p>
        </w:tc>
      </w:tr>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knitr</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kable() tables in RMarkdown output</w:t>
            </w:r>
          </w:p>
        </w:tc>
      </w:tr>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ggplot2</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Value distribution facet plots (s1)</w:t>
            </w:r>
          </w:p>
        </w:tc>
      </w:tr>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purrr</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map_dfr() for iterating SMM trigger flags (s3)</w:t>
            </w:r>
          </w:p>
        </w:tc>
      </w:tr>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stringr</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str_to_lower(), str_trim(), str_detect() for text matching (s3)</w:t>
            </w:r>
          </w:p>
        </w:tc>
      </w:tr>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gtsummary</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tbl_summary() for Table 1 (s5)</w:t>
            </w:r>
          </w:p>
        </w:tc>
      </w:tr>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flextable</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as_flex_table() + save_as_docx() for Word export (s5)</w:t>
            </w:r>
          </w:p>
        </w:tc>
      </w:tr>
    </w:tbl>
    <w:p>
      <w:pPr>
        <w:spacing w:after="60"/>
      </w:pPr>
      <w:r>
        <w:t xml:space="preserve"/>
      </w:r>
    </w:p>
    <w:p>
      <w:pPr>
        <w:pStyle w:val="Heading2"/>
      </w:pPr>
      <w:r>
        <w:rPr>
          <w:rFonts w:ascii="Arial" w:cs="Arial" w:eastAsia="Arial" w:hAnsi="Arial"/>
          <w:b/>
          <w:bCs/>
          <w:sz w:val="26"/>
          <w:szCs w:val="26"/>
        </w:rPr>
        <w:t xml:space="preserve">8.2 Python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pandas, numpy</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Data manipulation and array operations</w:t>
            </w:r>
          </w:p>
        </w:tc>
      </w:tr>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scikit-learn</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KNNImputer, MinMaxScaler, train_test_split, RandomizedSearchCV, RepeatedStratifiedKFold, all metrics</w:t>
            </w:r>
          </w:p>
        </w:tc>
      </w:tr>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xgboost</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XGBClassifier (v1–v3)</w:t>
            </w:r>
          </w:p>
        </w:tc>
      </w:tr>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lightgbm</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LGBMClassifier (v4)</w:t>
            </w:r>
          </w:p>
        </w:tc>
      </w:tr>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scipy.stats</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randint, uniform distributions for hyperparameter search</w:t>
            </w:r>
          </w:p>
        </w:tc>
      </w:tr>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matplotlib</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ROC curves, confusion matrix, feature importance plots</w:t>
            </w:r>
          </w:p>
        </w:tc>
      </w:tr>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tqdm</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Progress bar for hyperparameter search loop</w:t>
            </w:r>
          </w:p>
        </w:tc>
      </w:tr>
      <w:tr>
        <w:tc>
          <w:tcPr>
            <w:tcW w:type="dxa" w:w="252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80"/>
            </w:tcMar>
          </w:tcPr>
          <w:p>
            <w:r>
              <w:rPr>
                <w:rFonts w:ascii="Arial" w:cs="Arial" w:eastAsia="Arial" w:hAnsi="Arial"/>
                <w:b/>
                <w:bCs/>
                <w:sz w:val="20"/>
                <w:szCs w:val="20"/>
              </w:rPr>
              <w:t xml:space="preserve">pathlib</w:t>
            </w:r>
          </w:p>
        </w:tc>
        <w:tc>
          <w:tcPr>
            <w:tcW w:type="dxa" w:w="6840"/>
            <w:tcBorders>
              <w:top w:val="single" w:color="AAAAAA" w:sz="1"/>
              <w:left w:val="single" w:color="AAAAAA" w:sz="1"/>
              <w:bottom w:val="single" w:color="AAAAAA" w:sz="1"/>
              <w:right w:val="single" w:color="AAAAAA" w:sz="1"/>
            </w:tcBorders>
            <w:tcMar>
              <w:top w:type="dxa" w:w="80"/>
              <w:left w:type="dxa" w:w="120"/>
              <w:bottom w:type="dxa" w:w="80"/>
              <w:right w:type="dxa" w:w="80"/>
            </w:tcMar>
          </w:tcPr>
          <w:p>
            <w:r>
              <w:rPr>
                <w:rFonts w:ascii="Arial" w:cs="Arial" w:eastAsia="Arial" w:hAnsi="Arial"/>
                <w:sz w:val="20"/>
                <w:szCs w:val="20"/>
              </w:rPr>
              <w:t xml:space="preserve">Path management for output directories</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SMM Pipeline Code Book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4057" w:sz="4" w:space="1"/>
      </w:pBdr>
      <w:spacing w:after="160" w:before="32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A7B9D"/>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2026-05-11T16:00:04.342Z</dcterms:created>
  <dcterms:modified xsi:type="dcterms:W3CDTF">2026-05-11T16:00:04.343Z</dcterms:modified>
</cp:coreProperties>
</file>

<file path=docProps/custom.xml><?xml version="1.0" encoding="utf-8"?>
<Properties xmlns="http://schemas.openxmlformats.org/officeDocument/2006/custom-properties" xmlns:vt="http://schemas.openxmlformats.org/officeDocument/2006/docPropsVTypes"/>
</file>