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4"/>
        </w:rPr>
        <w:t>毕业论文（预演）模拟稿</w:t>
      </w:r>
    </w:p>
    <w:p>
      <w:pPr>
        <w:jc w:val="center"/>
      </w:pPr>
      <w:r>
        <w:rPr>
          <w:b/>
          <w:sz w:val="32"/>
        </w:rPr>
        <w:t>管理层语调的NLP测度构建及其对企业未来业绩的预测力研究</w:t>
        <w:br/>
        <w:t>——基于A股上市公司年报MD&amp;A文本的五步流水线实证</w:t>
      </w:r>
    </w:p>
    <w:p/>
    <w:p/>
    <w:p/>
    <w:p/>
    <w:p>
      <w:pPr>
        <w:jc w:val="center"/>
      </w:pPr>
      <w:r>
        <w:rPr>
          <w:sz w:val="28"/>
        </w:rPr>
        <w:t>作者：马傲君</w:t>
      </w:r>
    </w:p>
    <w:p>
      <w:pPr>
        <w:jc w:val="center"/>
      </w:pPr>
      <w:r>
        <w:rPr>
          <w:sz w:val="28"/>
        </w:rPr>
        <w:t>专业：大数据管理与应用</w:t>
      </w:r>
    </w:p>
    <w:p>
      <w:pPr>
        <w:jc w:val="center"/>
      </w:pPr>
      <w:r>
        <w:rPr>
          <w:sz w:val="28"/>
        </w:rPr>
        <w:t>完成日期：2026年10月</w:t>
      </w:r>
    </w:p>
    <w:p>
      <w:r>
        <w:br w:type="page"/>
      </w:r>
    </w:p>
    <w:p>
      <w:pPr>
        <w:pStyle w:val="Heading1"/>
      </w:pPr>
      <w:r>
        <w:rPr>
          <w:rFonts w:ascii="黑体" w:hAnsi="黑体" w:eastAsia="黑体"/>
          <w:b/>
          <w:color w:val="000000"/>
          <w:sz w:val="32"/>
        </w:rPr>
        <w:t>目 录</w:t>
      </w:r>
    </w:p>
    <w:p>
      <w:pPr>
        <w:spacing w:after="80"/>
      </w:pPr>
      <w:r>
        <w:t>摘要</w:t>
      </w:r>
    </w:p>
    <w:p>
      <w:pPr>
        <w:spacing w:after="80"/>
      </w:pPr>
      <w:r>
        <w:t>1. 绪论</w:t>
      </w:r>
    </w:p>
    <w:p>
      <w:pPr>
        <w:spacing w:after="80"/>
      </w:pPr>
      <w:r>
        <w:t xml:space="preserve">　1.1 选题背景　1.2 研究意义　1.3 文献综述与研究缺口（Gap）</w:t>
      </w:r>
    </w:p>
    <w:p>
      <w:pPr>
        <w:spacing w:after="80"/>
      </w:pPr>
      <w:r>
        <w:t>2. 方法</w:t>
      </w:r>
    </w:p>
    <w:p>
      <w:pPr>
        <w:spacing w:after="80"/>
      </w:pPr>
      <w:r>
        <w:t xml:space="preserve">　2.1 数据来源与样本　2.2 文本预处理　2.3 测度构造　2.4 变量定义表　2.5 五步流水线技术路线</w:t>
      </w:r>
    </w:p>
    <w:p>
      <w:pPr>
        <w:spacing w:after="80"/>
      </w:pPr>
      <w:r>
        <w:t>3. 分析</w:t>
      </w:r>
    </w:p>
    <w:p>
      <w:pPr>
        <w:spacing w:after="80"/>
      </w:pPr>
      <w:r>
        <w:t xml:space="preserve">　3.1 描述性统计　3.2 信度检验　3.3 效度检验　3.4 回归分析　3.5 稳健性检验</w:t>
      </w:r>
    </w:p>
    <w:p>
      <w:pPr>
        <w:spacing w:after="80"/>
      </w:pPr>
      <w:r>
        <w:t>4. 结论</w:t>
      </w:r>
    </w:p>
    <w:p>
      <w:pPr>
        <w:spacing w:after="80"/>
      </w:pPr>
      <w:r>
        <w:t xml:space="preserve">　4.1 主要发现　4.2 局限性　4.3 未来展望</w:t>
      </w:r>
    </w:p>
    <w:p>
      <w:pPr>
        <w:spacing w:after="80"/>
      </w:pPr>
      <w:r>
        <w:t>参考文献</w:t>
      </w:r>
    </w:p>
    <w:p>
      <w:pPr>
        <w:spacing w:after="80"/>
      </w:pPr>
      <w:r>
        <w:t>附录：可复现代码与数据说明</w:t>
      </w:r>
    </w:p>
    <w:p>
      <w:r>
        <w:br w:type="page"/>
      </w:r>
    </w:p>
    <w:p>
      <w:pPr>
        <w:jc w:val="center"/>
      </w:pPr>
      <w:r>
        <w:rPr>
          <w:b/>
        </w:rPr>
        <w:t>毕业论文（预演）模拟稿</w:t>
      </w:r>
    </w:p>
    <w:p>
      <w:pPr>
        <w:spacing w:line="360" w:lineRule="auto"/>
        <w:ind w:firstLine="480"/>
        <w:jc w:val="both"/>
      </w:pPr>
      <w:r>
        <w:t>作者：马傲君　｜　专业：大数据管理与应用　｜　完成日期：2026年10月</w:t>
      </w:r>
    </w:p>
    <w:p>
      <w:pPr>
        <w:pStyle w:val="Heading2"/>
      </w:pPr>
      <w:r>
        <w:rPr>
          <w:rFonts w:ascii="黑体" w:hAnsi="黑体" w:eastAsia="黑体"/>
          <w:b/>
          <w:color w:val="000000"/>
          <w:sz w:val="28"/>
        </w:rPr>
        <w:t>摘要</w:t>
      </w:r>
    </w:p>
    <w:p>
      <w:pPr>
        <w:spacing w:line="360" w:lineRule="auto"/>
        <w:ind w:firstLine="480"/>
        <w:jc w:val="both"/>
      </w:pPr>
      <w:r>
        <w:t>随着文本即数据（Text as Data）范式在金融与会计研究中的兴起，如何从海量非结构化文本中构建科学、可复现的定量测度，已成为实证研究的关键环节。本文以A股上市公司年度报告"管理层讨论与分析"（MD&amp;A）章节为研究对象，系统展示了一套"NLP测度构建五步流水线"：数据获取、文本预处理、测度构造、信效度检验与回归分析。基于200家上市公司2022—2024年共600个企业—年份观测（模拟语料），本文构建了基于中文金融情感词典的净语调指数Tone=(正面词数−负面词数)/(正面词数+负面词数)，并对其进行信效度检验：词典分半信度经Spearman-Brown校正后达0.820，人工标注与机器测度的效标相关达0.951，评分者间信度为0.843，表明测度具有良好的一致性与效度。回归分析发现，在控制公司规模、资产负债率与营业收入增长率并纳入年份固定效应后，当期语调对未来一年总资产收益率（ROA）的预测系数为0.0494（t=21.71，p&lt;0.001），即管理层语调每提高一个标准差，下一年度ROA平均提升约1.6个百分点；更换备择测度后结论稳健。研究表明，词典法构建的MD&amp;A语调测度含有的增量信息能够显著预测公司未来业绩，同时本文提供的五步流水线为文本测度类研究提供了规范、可复现的方法学模板。</w:t>
      </w:r>
    </w:p>
    <w:p>
      <w:pPr>
        <w:spacing w:line="360" w:lineRule="auto"/>
        <w:ind w:firstLine="480"/>
        <w:jc w:val="both"/>
      </w:pPr>
      <w:r>
        <w:t>关键词：管理层语调；文本分析；情感词典；自然语言处理；信效度检验；业绩预测</w:t>
      </w:r>
    </w:p>
    <w:p>
      <w:pPr>
        <w:pStyle w:val="Heading2"/>
      </w:pPr>
      <w:r>
        <w:rPr>
          <w:rFonts w:ascii="黑体" w:hAnsi="黑体" w:eastAsia="黑体"/>
          <w:b/>
          <w:color w:val="000000"/>
          <w:sz w:val="28"/>
        </w:rPr>
        <w:t>1. 绪论</w:t>
      </w:r>
    </w:p>
    <w:p>
      <w:pPr>
        <w:pStyle w:val="Heading3"/>
      </w:pPr>
      <w:r>
        <w:rPr>
          <w:rFonts w:ascii="黑体" w:hAnsi="黑体" w:eastAsia="黑体"/>
          <w:b/>
          <w:color w:val="000000"/>
          <w:sz w:val="24"/>
        </w:rPr>
        <w:t>1.1 选题背景</w:t>
      </w:r>
    </w:p>
    <w:p>
      <w:pPr>
        <w:spacing w:line="360" w:lineRule="auto"/>
        <w:ind w:firstLine="480"/>
        <w:jc w:val="both"/>
      </w:pPr>
      <w:r>
        <w:t>在现代资本市场上，上市公司每年发布的年度报告是投资者获取公司信息最重要的正式渠道之一。其中，"管理层讨论与分析"（Management Discussion &amp; Analysis，简称MD&amp;A）章节由管理层亲自撰写，以叙述性语言回顾当期经营状况、解释业绩动因并展望未来发展，包含了大量财务报表数字无法承载的软信息。与高度结构化的财务数据不同，这些叙述性文本的措辞倾向、情感色彩和确定性程度，本身就可能传递管理层对企业前景的私人信息。管理层是如实披露其预期，还是策略性地使用乐观言辞进行印象管理，直接关系到文本信息的披露质量与投资者保护。</w:t>
      </w:r>
    </w:p>
    <w:p>
      <w:pPr>
        <w:spacing w:line="360" w:lineRule="auto"/>
        <w:ind w:firstLine="480"/>
        <w:jc w:val="both"/>
      </w:pPr>
      <w:r>
        <w:t>长期以来，文本信息难以量化，研究者只能依赖内容分析法的简单词频统计。近年来，随着自然语言处理（NLP）技术的成熟和"文本即数据"研究范式的兴起，学者们开始将非结构化文本转化为可分析的定量变量：从早期基于英文情感词典的语调测度（Loughran &amp; McDonald, 2011），到基于机器学习的文本分类，再到大语言模型时代的语义嵌入，文本量化方法不断演进。在中文语境下，A股市场散户占比高、对叙述性信息的反应模式独特，年报文本的语调测度研究具有天然的本土价值。然而，如何规范地构建一个"信得过"的文本测度——即测度既稳定可重复（信度），又真正捕捉了目标构念（效度）——在方法学层面仍缺乏系统、可操作的流程指引，这正是本文试图回应的问题。</w:t>
      </w:r>
    </w:p>
    <w:p>
      <w:pPr>
        <w:pStyle w:val="Heading3"/>
      </w:pPr>
      <w:r>
        <w:rPr>
          <w:rFonts w:ascii="黑体" w:hAnsi="黑体" w:eastAsia="黑体"/>
          <w:b/>
          <w:color w:val="000000"/>
          <w:sz w:val="24"/>
        </w:rPr>
        <w:t>1.2 研究意义</w:t>
      </w:r>
    </w:p>
    <w:p>
      <w:pPr>
        <w:spacing w:line="360" w:lineRule="auto"/>
        <w:ind w:firstLine="480"/>
        <w:jc w:val="both"/>
      </w:pPr>
      <w:r>
        <w:t>本文的研究意义体现在两个层面。在理论层面，本文检验MD&amp;A语调是否包含超越传统财务指标的增量信息，即语调能否预测公司未来业绩。若语调显著预测未来ROA，则说明管理层叙述中蕴含前瞻性信息；若预测力来自夸大其词，则提示印象管理行为。无论哪种情形，都有助于理解文本信息披露的信息含量，丰富信息披露经济学的经验证据。</w:t>
      </w:r>
    </w:p>
    <w:p>
      <w:pPr>
        <w:spacing w:line="360" w:lineRule="auto"/>
        <w:ind w:firstLine="480"/>
        <w:jc w:val="both"/>
      </w:pPr>
      <w:r>
        <w:t>在方法层面，本文的意义更为直接：完整地示范一条"NLP测度构建五步流水线"——数据获取、文本预处理、测度构造、信效度检验、回归分析，并把每一步的输入输出、关键决策点和可复现代码全部公开。目前不少实证论文在报告文本测度时只给出最终回归结果，读者无从判断测度的稳定性与有效性。本文强调：一个文本测度在进入回归模型之前，必须先通过信度与效度两道"质检"程序；没有经过质检的测度，其回归结论的可信度是存疑的。这套流程对初学者尤其友好，可以直接作为课程作业或学位论文预研的方法学模板。</w:t>
      </w:r>
    </w:p>
    <w:p>
      <w:pPr>
        <w:pStyle w:val="Heading3"/>
      </w:pPr>
      <w:r>
        <w:rPr>
          <w:rFonts w:ascii="黑体" w:hAnsi="黑体" w:eastAsia="黑体"/>
          <w:b/>
          <w:color w:val="000000"/>
          <w:sz w:val="24"/>
        </w:rPr>
        <w:t>1.3 文献综述与研究缺口（Gap）</w:t>
      </w:r>
    </w:p>
    <w:p>
      <w:pPr>
        <w:spacing w:line="360" w:lineRule="auto"/>
        <w:ind w:firstLine="480"/>
        <w:jc w:val="both"/>
      </w:pPr>
      <w:r>
        <w:t>国外文献方面，Tetlock 等（2008）率先在《Journal of Finance》上利用哈佛通用心理词典对《华尔街日报》专栏文本进行情绪打分，发现媒体悲观情绪可以预测市场走势；Loughran &amp; McDonald（2011）指出金融文本中大量"正面"的通用词汇（如 liability、capital）实际含义相反，据此构建了金融领域专用情感词典（LM词典），奠定了词典法在金融文本研究中的主导地位。Gentzkow &amp; Shapiro（2010）讨论了文本量化的识别问题，Grimmer &amp; Stewart（2013）则系统综述了"文本即数据"的方法框架，强调测度必须经过有效性验证。</w:t>
      </w:r>
    </w:p>
    <w:p>
      <w:pPr>
        <w:spacing w:line="360" w:lineRule="auto"/>
        <w:ind w:firstLine="480"/>
        <w:jc w:val="both"/>
      </w:pPr>
      <w:r>
        <w:t>国内文献方面，谢德仁、林乐（2015）较早将语调分析引入中文年报文本，发现业绩说明会上的管理层语调能够预测公司未来业绩；曾庆生等（2018）研究了年报语调与内部人交易的关系，发现高管在卖出股票前年报语调更加乐观，提示语调中的印象管理成分；胡楠等（2021）构建了管理层短视主义词典，考察短视语调对企业资本配置的影响；姚加权等（2021）则研制了中文金融情感词典并检验语调对市场反应的预测力。</w:t>
      </w:r>
    </w:p>
    <w:p>
      <w:pPr>
        <w:spacing w:line="360" w:lineRule="auto"/>
        <w:ind w:firstLine="480"/>
        <w:jc w:val="both"/>
      </w:pPr>
      <w:r>
        <w:t>研究缺口（Gap）：综观现有文献，存在两点不足。其一，多数研究直接套用现成词典或他文语料进行测度，对测度本身信度（如分半信度、重测信度）与效度（如效标效度、构念效度）的检验要么完全缺失，要么语焉不详，导致不同文献间的语调测度缺乏可比性；其二，方法流程零散地分散在正文脚注中，缺少一条"从原始语料到回归表格"的端到端、可复现的完整流水线展示，初学者难以复现和迁移。本文的贡献即在于：以一个完整的模拟研究为例，将测度构造与信效度质检前置，并公开全部代码与中间结果，弥合上述Gap。</w:t>
      </w:r>
    </w:p>
    <w:p>
      <w:pPr>
        <w:pStyle w:val="Heading2"/>
      </w:pPr>
      <w:r>
        <w:rPr>
          <w:rFonts w:ascii="黑体" w:hAnsi="黑体" w:eastAsia="黑体"/>
          <w:b/>
          <w:color w:val="000000"/>
          <w:sz w:val="28"/>
        </w:rPr>
        <w:t>2. 方法</w:t>
      </w:r>
    </w:p>
    <w:p>
      <w:pPr>
        <w:pStyle w:val="Heading3"/>
      </w:pPr>
      <w:r>
        <w:rPr>
          <w:rFonts w:ascii="黑体" w:hAnsi="黑体" w:eastAsia="黑体"/>
          <w:b/>
          <w:color w:val="000000"/>
          <w:sz w:val="24"/>
        </w:rPr>
        <w:t>2.1 数据来源与样本</w:t>
      </w:r>
    </w:p>
    <w:p>
      <w:pPr>
        <w:spacing w:line="360" w:lineRule="auto"/>
        <w:ind w:firstLine="480"/>
        <w:jc w:val="both"/>
      </w:pPr>
      <w:r>
        <w:t>在真实研究场景中，本文的语料获取路径为：登录巨潮资讯网（www.cninfo.com.cn），按证监会行业分类随机抽取A股上市公司样本，批量下载样本公司2022—2024年年度报告PDF；随后利用Python的pdfplumber库解析年报文件，定位"管理层讨论与分析"章节，提取该章节连续文本作为MD&amp;A语料；公司规模、资产负债率、营业收入增长率与总资产收益率等财务变量则取自CSMAR（国泰安）数据库，并按照股票代码与会计年度双键合并入文本面板。</w:t>
      </w:r>
    </w:p>
    <w:p>
      <w:pPr>
        <w:spacing w:line="360" w:lineRule="auto"/>
        <w:ind w:firstLine="480"/>
        <w:jc w:val="both"/>
      </w:pPr>
      <w:r>
        <w:t>需要特别说明的是：本作业为课程预演性质，重点在于方法流程的完整性与可复现性，因此在遵循真实数据统计结构的前提下，使用Python随机过程模拟生成了200家公司、2022—2024年共600个"企业—年份"观测的MD&amp;A语料与配套财务数据（生成逻辑见`data/generate_corpus.py`，模拟规则为：每家企业存在一个潜在的"语调倾向"参数，正向语调概率与该参数及当期经营冲击正相关，下一年度ROA由语调倾向、控制变量与随机噪声线性生成）。这一处理保证了读者可以在本地零成本复现论文全部结果，而真实数据替换仅需更换`data/raw_corpus.csv`一个文件，流水线的其余步骤完全不变。样本筛选标准为：（1）MD&amp;A章节文本完整可得；（2）剔除金融类与ST公司；（3）剔除关键财务变量缺失的观测。经上述处理，最终得到600个企业—年份观测，MD&amp;A文本平均长度约702字。</w:t>
      </w:r>
    </w:p>
    <w:p>
      <w:pPr>
        <w:pStyle w:val="Heading3"/>
      </w:pPr>
      <w:r>
        <w:rPr>
          <w:rFonts w:ascii="黑体" w:hAnsi="黑体" w:eastAsia="黑体"/>
          <w:b/>
          <w:color w:val="000000"/>
          <w:sz w:val="24"/>
        </w:rPr>
        <w:t>2.2 文本预处理</w:t>
      </w:r>
    </w:p>
    <w:p>
      <w:pPr>
        <w:spacing w:line="360" w:lineRule="auto"/>
        <w:ind w:firstLine="480"/>
        <w:jc w:val="both"/>
      </w:pPr>
      <w:r>
        <w:t>文本预处理的目标是将原始段落转化为规范化的词序列，为后续词频统计做准备，共包含四个环节。第一，分词：汉语缺乏天然词边界，本文采用jieba分词器进行中文分词，该工具基于前缀词典与动态规划（HMM）实现，在金融文本上的表现稳定，是中文文本研究的常用选择。第二，停用词过滤：去除"的""了""在"等高频虚词以及与情感判断无关的通用词（如"公司""报告"），本文在通用停用词表基础上，结合MD&amp;A语料的人工浏览补充了领域停用词，最终形成自定义停用词表。第三，清洗：剔除标点、数字串与单字符噪声词，统一全角半角字符。第四，词序列构建：将每条MD&amp;A文本转化为一维词列表，并记录词数（平均约280词/条），作为词典覆盖度计算的分母之一。为保证可复现，全部预处理规则以代码形式固化在`code/pipeline.py`步骤二中，不引入任何人工干预。</w:t>
      </w:r>
    </w:p>
    <w:p>
      <w:pPr>
        <w:pStyle w:val="Heading3"/>
      </w:pPr>
      <w:r>
        <w:rPr>
          <w:rFonts w:ascii="黑体" w:hAnsi="黑体" w:eastAsia="黑体"/>
          <w:b/>
          <w:color w:val="000000"/>
          <w:sz w:val="24"/>
        </w:rPr>
        <w:t>2.3 测度构造</w:t>
      </w:r>
    </w:p>
    <w:p>
      <w:pPr>
        <w:spacing w:line="360" w:lineRule="auto"/>
        <w:ind w:firstLine="480"/>
        <w:jc w:val="both"/>
      </w:pPr>
      <w:r>
        <w:t>本文采用词典法（Dictionary-based Method）构造语调测度。词典法的优点在于透明、可解释、计算成本低，且便于进行信效度诊断，适合作为测度构建方法学演示的基础方案。</w:t>
      </w:r>
    </w:p>
    <w:p>
      <w:pPr>
        <w:spacing w:line="360" w:lineRule="auto"/>
        <w:ind w:firstLine="480"/>
        <w:jc w:val="both"/>
      </w:pPr>
      <w:r>
        <w:t>情感词典：本文参考Loughran &amp; McDonald（2011）的金融语境原则与姚加权等（2021）的中文金融情感词典思路，自行编制了一份规模为73词的中文金融情感词典（`data/金融情感词典.txt`），其中正面词39个（如"增长、提升、突破、改善、超预期"），负面词34个（如"下滑、亏损、减值、疲弱、不及预期"）。词典编制遵循三条原则：一是金融语境特异——"扩大"在通用词典中可能中性，但在MD&amp;A语境下"市场份额扩大""融资成本上升"方向相反，故仅收录方向明确的词目；二是避免财务指标词——"收入""利润"本身不带方向，方向由其前后的修饰词决定，故不直接收录；三是负面词充分覆盖——心理学与金融研究均表明负面词的信息含量高于正面词，负面词库的完备性至关重要。</w:t>
      </w:r>
    </w:p>
    <w:p>
      <w:pPr>
        <w:spacing w:line="360" w:lineRule="auto"/>
        <w:ind w:firstLine="480"/>
        <w:jc w:val="both"/>
      </w:pPr>
      <w:r>
        <w:t>语调指数：对每条MD&amp;A文本统计词典词命中次数，记正面词命中数为 Pos，负面词命中数为 Neg，则本文的主测度——净语调指数定义为：</w:t>
      </w:r>
    </w:p>
    <w:p>
      <w:pPr>
        <w:ind w:left="567"/>
      </w:pPr>
      <w:r>
        <w:rPr>
          <w:i w:val="0"/>
          <w:sz w:val="22"/>
        </w:rPr>
        <w:t>**Tone = (Pos − Neg) / (Pos + Neg)**</w:t>
      </w:r>
    </w:p>
    <w:p>
      <w:pPr>
        <w:spacing w:line="360" w:lineRule="auto"/>
        <w:ind w:firstLine="480"/>
        <w:jc w:val="both"/>
      </w:pPr>
      <w:r>
        <w:t>该指标取值范围为[−1, 1]，越接近1表示管理层叙述越乐观，越接近−1表示越悲观。选取该标准化形式而非简单差值（Pos−Neg），是为了消除文本长度差异的影响：长文本天然命中更多情感词，若不做标准化，测度会混入"话多话少"的噪声。同时，本文构造备择测度 Tone2 = (Pos − Neg) / 总词数（总词数记为 W），用于稳健性检验，以排除标准化方式对结论的驱动。此外，本文记录词典覆盖度 coverage = (Pos + Neg) / W，用以诊断词典对语料的适配程度：覆盖度过低说明词典与语料脱节，测度易受少数词目支配。</w:t>
      </w:r>
    </w:p>
    <w:p>
      <w:pPr>
        <w:pStyle w:val="Heading3"/>
      </w:pPr>
      <w:r>
        <w:rPr>
          <w:rFonts w:ascii="黑体" w:hAnsi="黑体" w:eastAsia="黑体"/>
          <w:b/>
          <w:color w:val="000000"/>
          <w:sz w:val="24"/>
        </w:rPr>
        <w:t>2.4 变量定义表</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21"/>
              </w:rPr>
              <w:t>变量类型</w:t>
            </w:r>
          </w:p>
        </w:tc>
        <w:tc>
          <w:tcPr>
            <w:tcW w:type="dxa" w:w="2160"/>
          </w:tcPr>
          <w:p>
            <w:pPr>
              <w:jc w:val="center"/>
            </w:pPr>
            <w:r>
              <w:rPr>
                <w:b/>
                <w:sz w:val="21"/>
              </w:rPr>
              <w:t>变量名</w:t>
            </w:r>
          </w:p>
        </w:tc>
        <w:tc>
          <w:tcPr>
            <w:tcW w:type="dxa" w:w="2160"/>
          </w:tcPr>
          <w:p>
            <w:pPr>
              <w:jc w:val="center"/>
            </w:pPr>
            <w:r>
              <w:rPr>
                <w:b/>
                <w:sz w:val="21"/>
              </w:rPr>
              <w:t>符号</w:t>
            </w:r>
          </w:p>
        </w:tc>
        <w:tc>
          <w:tcPr>
            <w:tcW w:type="dxa" w:w="2160"/>
          </w:tcPr>
          <w:p>
            <w:pPr>
              <w:jc w:val="center"/>
            </w:pPr>
            <w:r>
              <w:rPr>
                <w:b/>
                <w:sz w:val="21"/>
              </w:rPr>
              <w:t>定义与测度方法</w:t>
            </w:r>
          </w:p>
        </w:tc>
      </w:tr>
      <w:tr>
        <w:tc>
          <w:tcPr>
            <w:tcW w:type="dxa" w:w="2160"/>
          </w:tcPr>
          <w:p>
            <w:pPr>
              <w:jc w:val="center"/>
            </w:pPr>
            <w:r>
              <w:rPr>
                <w:b w:val="0"/>
                <w:sz w:val="21"/>
              </w:rPr>
              <w:t>被解释变量</w:t>
            </w:r>
          </w:p>
        </w:tc>
        <w:tc>
          <w:tcPr>
            <w:tcW w:type="dxa" w:w="2160"/>
          </w:tcPr>
          <w:p>
            <w:pPr>
              <w:jc w:val="center"/>
            </w:pPr>
            <w:r>
              <w:rPr>
                <w:b w:val="0"/>
                <w:sz w:val="21"/>
              </w:rPr>
              <w:t>未来业绩</w:t>
            </w:r>
          </w:p>
        </w:tc>
        <w:tc>
          <w:tcPr>
            <w:tcW w:type="dxa" w:w="2160"/>
          </w:tcPr>
          <w:p>
            <w:pPr>
              <w:jc w:val="center"/>
            </w:pPr>
            <w:r>
              <w:rPr>
                <w:b w:val="0"/>
                <w:sz w:val="21"/>
              </w:rPr>
              <w:t>ROA(t+1)</w:t>
            </w:r>
          </w:p>
        </w:tc>
        <w:tc>
          <w:tcPr>
            <w:tcW w:type="dxa" w:w="2160"/>
          </w:tcPr>
          <w:p>
            <w:pPr>
              <w:jc w:val="center"/>
            </w:pPr>
            <w:r>
              <w:rPr>
                <w:b w:val="0"/>
                <w:sz w:val="21"/>
              </w:rPr>
              <w:t>下一年度总资产收益率＝净利润/总资产</w:t>
            </w:r>
          </w:p>
        </w:tc>
      </w:tr>
      <w:tr>
        <w:tc>
          <w:tcPr>
            <w:tcW w:type="dxa" w:w="2160"/>
          </w:tcPr>
          <w:p>
            <w:pPr>
              <w:jc w:val="center"/>
            </w:pPr>
            <w:r>
              <w:rPr>
                <w:b w:val="0"/>
                <w:sz w:val="21"/>
              </w:rPr>
              <w:t>核心解释变量</w:t>
            </w:r>
          </w:p>
        </w:tc>
        <w:tc>
          <w:tcPr>
            <w:tcW w:type="dxa" w:w="2160"/>
          </w:tcPr>
          <w:p>
            <w:pPr>
              <w:jc w:val="center"/>
            </w:pPr>
            <w:r>
              <w:rPr>
                <w:b w:val="0"/>
                <w:sz w:val="21"/>
              </w:rPr>
              <w:t>管理层语调</w:t>
            </w:r>
          </w:p>
        </w:tc>
        <w:tc>
          <w:tcPr>
            <w:tcW w:type="dxa" w:w="2160"/>
          </w:tcPr>
          <w:p>
            <w:pPr>
              <w:jc w:val="center"/>
            </w:pPr>
            <w:r>
              <w:rPr>
                <w:b w:val="0"/>
                <w:sz w:val="21"/>
              </w:rPr>
              <w:t>Tone</w:t>
            </w:r>
          </w:p>
        </w:tc>
        <w:tc>
          <w:tcPr>
            <w:tcW w:type="dxa" w:w="2160"/>
          </w:tcPr>
          <w:p>
            <w:pPr>
              <w:jc w:val="center"/>
            </w:pPr>
            <w:r>
              <w:rPr>
                <w:b w:val="0"/>
                <w:sz w:val="21"/>
              </w:rPr>
              <w:t>(正面词数−负面词数)/(正面词数+负面词数)</w:t>
            </w:r>
          </w:p>
        </w:tc>
      </w:tr>
      <w:tr>
        <w:tc>
          <w:tcPr>
            <w:tcW w:type="dxa" w:w="2160"/>
          </w:tcPr>
          <w:p>
            <w:pPr>
              <w:jc w:val="center"/>
            </w:pPr>
            <w:r>
              <w:rPr>
                <w:b w:val="0"/>
                <w:sz w:val="21"/>
              </w:rPr>
              <w:t>备择测度</w:t>
            </w:r>
          </w:p>
        </w:tc>
        <w:tc>
          <w:tcPr>
            <w:tcW w:type="dxa" w:w="2160"/>
          </w:tcPr>
          <w:p>
            <w:pPr>
              <w:jc w:val="center"/>
            </w:pPr>
            <w:r>
              <w:rPr>
                <w:b w:val="0"/>
                <w:sz w:val="21"/>
              </w:rPr>
              <w:t>管理层语调</w:t>
            </w:r>
          </w:p>
        </w:tc>
        <w:tc>
          <w:tcPr>
            <w:tcW w:type="dxa" w:w="2160"/>
          </w:tcPr>
          <w:p>
            <w:pPr>
              <w:jc w:val="center"/>
            </w:pPr>
            <w:r>
              <w:rPr>
                <w:b w:val="0"/>
                <w:sz w:val="21"/>
              </w:rPr>
              <w:t>Tone2</w:t>
            </w:r>
          </w:p>
        </w:tc>
        <w:tc>
          <w:tcPr>
            <w:tcW w:type="dxa" w:w="2160"/>
          </w:tcPr>
          <w:p>
            <w:pPr>
              <w:jc w:val="center"/>
            </w:pPr>
            <w:r>
              <w:rPr>
                <w:b w:val="0"/>
                <w:sz w:val="21"/>
              </w:rPr>
              <w:t>(正面词数−负面词数)/总词数</w:t>
            </w:r>
          </w:p>
        </w:tc>
      </w:tr>
      <w:tr>
        <w:tc>
          <w:tcPr>
            <w:tcW w:type="dxa" w:w="2160"/>
          </w:tcPr>
          <w:p>
            <w:pPr>
              <w:jc w:val="center"/>
            </w:pPr>
            <w:r>
              <w:rPr>
                <w:b w:val="0"/>
                <w:sz w:val="21"/>
              </w:rPr>
              <w:t>控制变量</w:t>
            </w:r>
          </w:p>
        </w:tc>
        <w:tc>
          <w:tcPr>
            <w:tcW w:type="dxa" w:w="2160"/>
          </w:tcPr>
          <w:p>
            <w:pPr>
              <w:jc w:val="center"/>
            </w:pPr>
            <w:r>
              <w:rPr>
                <w:b w:val="0"/>
                <w:sz w:val="21"/>
              </w:rPr>
              <w:t>公司规模</w:t>
            </w:r>
          </w:p>
        </w:tc>
        <w:tc>
          <w:tcPr>
            <w:tcW w:type="dxa" w:w="2160"/>
          </w:tcPr>
          <w:p>
            <w:pPr>
              <w:jc w:val="center"/>
            </w:pPr>
            <w:r>
              <w:rPr>
                <w:b w:val="0"/>
                <w:sz w:val="21"/>
              </w:rPr>
              <w:t>Size</w:t>
            </w:r>
          </w:p>
        </w:tc>
        <w:tc>
          <w:tcPr>
            <w:tcW w:type="dxa" w:w="2160"/>
          </w:tcPr>
          <w:p>
            <w:pPr>
              <w:jc w:val="center"/>
            </w:pPr>
            <w:r>
              <w:rPr>
                <w:b w:val="0"/>
                <w:sz w:val="21"/>
              </w:rPr>
              <w:t>年末总资产的自然对数</w:t>
            </w:r>
          </w:p>
        </w:tc>
      </w:tr>
      <w:tr>
        <w:tc>
          <w:tcPr>
            <w:tcW w:type="dxa" w:w="2160"/>
          </w:tcPr>
          <w:p>
            <w:pPr>
              <w:jc w:val="center"/>
            </w:pPr>
            <w:r>
              <w:rPr>
                <w:b w:val="0"/>
                <w:sz w:val="21"/>
              </w:rPr>
              <w:t>控制变量</w:t>
            </w:r>
          </w:p>
        </w:tc>
        <w:tc>
          <w:tcPr>
            <w:tcW w:type="dxa" w:w="2160"/>
          </w:tcPr>
          <w:p>
            <w:pPr>
              <w:jc w:val="center"/>
            </w:pPr>
            <w:r>
              <w:rPr>
                <w:b w:val="0"/>
                <w:sz w:val="21"/>
              </w:rPr>
              <w:t>财务杠杆</w:t>
            </w:r>
          </w:p>
        </w:tc>
        <w:tc>
          <w:tcPr>
            <w:tcW w:type="dxa" w:w="2160"/>
          </w:tcPr>
          <w:p>
            <w:pPr>
              <w:jc w:val="center"/>
            </w:pPr>
            <w:r>
              <w:rPr>
                <w:b w:val="0"/>
                <w:sz w:val="21"/>
              </w:rPr>
              <w:t>Lev</w:t>
            </w:r>
          </w:p>
        </w:tc>
        <w:tc>
          <w:tcPr>
            <w:tcW w:type="dxa" w:w="2160"/>
          </w:tcPr>
          <w:p>
            <w:pPr>
              <w:jc w:val="center"/>
            </w:pPr>
            <w:r>
              <w:rPr>
                <w:b w:val="0"/>
                <w:sz w:val="21"/>
              </w:rPr>
              <w:t>资产负债率＝总负债/总资产</w:t>
            </w:r>
          </w:p>
        </w:tc>
      </w:tr>
      <w:tr>
        <w:tc>
          <w:tcPr>
            <w:tcW w:type="dxa" w:w="2160"/>
          </w:tcPr>
          <w:p>
            <w:pPr>
              <w:jc w:val="center"/>
            </w:pPr>
            <w:r>
              <w:rPr>
                <w:b w:val="0"/>
                <w:sz w:val="21"/>
              </w:rPr>
              <w:t>控制变量</w:t>
            </w:r>
          </w:p>
        </w:tc>
        <w:tc>
          <w:tcPr>
            <w:tcW w:type="dxa" w:w="2160"/>
          </w:tcPr>
          <w:p>
            <w:pPr>
              <w:jc w:val="center"/>
            </w:pPr>
            <w:r>
              <w:rPr>
                <w:b w:val="0"/>
                <w:sz w:val="21"/>
              </w:rPr>
              <w:t>成长性</w:t>
            </w:r>
          </w:p>
        </w:tc>
        <w:tc>
          <w:tcPr>
            <w:tcW w:type="dxa" w:w="2160"/>
          </w:tcPr>
          <w:p>
            <w:pPr>
              <w:jc w:val="center"/>
            </w:pPr>
            <w:r>
              <w:rPr>
                <w:b w:val="0"/>
                <w:sz w:val="21"/>
              </w:rPr>
              <w:t>Growth</w:t>
            </w:r>
          </w:p>
        </w:tc>
        <w:tc>
          <w:tcPr>
            <w:tcW w:type="dxa" w:w="2160"/>
          </w:tcPr>
          <w:p>
            <w:pPr>
              <w:jc w:val="center"/>
            </w:pPr>
            <w:r>
              <w:rPr>
                <w:b w:val="0"/>
                <w:sz w:val="21"/>
              </w:rPr>
              <w:t>营业收入同比增长率</w:t>
            </w:r>
          </w:p>
        </w:tc>
      </w:tr>
      <w:tr>
        <w:tc>
          <w:tcPr>
            <w:tcW w:type="dxa" w:w="2160"/>
          </w:tcPr>
          <w:p>
            <w:pPr>
              <w:jc w:val="center"/>
            </w:pPr>
            <w:r>
              <w:rPr>
                <w:b w:val="0"/>
                <w:sz w:val="21"/>
              </w:rPr>
              <w:t>固定效应</w:t>
            </w:r>
          </w:p>
        </w:tc>
        <w:tc>
          <w:tcPr>
            <w:tcW w:type="dxa" w:w="2160"/>
          </w:tcPr>
          <w:p>
            <w:pPr>
              <w:jc w:val="center"/>
            </w:pPr>
            <w:r>
              <w:rPr>
                <w:b w:val="0"/>
                <w:sz w:val="21"/>
              </w:rPr>
              <w:t>年份</w:t>
            </w:r>
          </w:p>
        </w:tc>
        <w:tc>
          <w:tcPr>
            <w:tcW w:type="dxa" w:w="2160"/>
          </w:tcPr>
          <w:p>
            <w:pPr>
              <w:jc w:val="center"/>
            </w:pPr>
            <w:r>
              <w:rPr>
                <w:b w:val="0"/>
                <w:sz w:val="21"/>
              </w:rPr>
              <w:t>Year</w:t>
            </w:r>
          </w:p>
        </w:tc>
        <w:tc>
          <w:tcPr>
            <w:tcW w:type="dxa" w:w="2160"/>
          </w:tcPr>
          <w:p>
            <w:pPr>
              <w:jc w:val="center"/>
            </w:pPr>
            <w:r>
              <w:rPr>
                <w:b w:val="0"/>
                <w:sz w:val="21"/>
              </w:rPr>
              <w:t>会计年度虚拟变量（以2022年为基准）</w:t>
            </w:r>
          </w:p>
        </w:tc>
      </w:tr>
    </w:tbl>
    <w:p>
      <w:pPr>
        <w:pStyle w:val="Heading3"/>
      </w:pPr>
      <w:r>
        <w:rPr>
          <w:rFonts w:ascii="黑体" w:hAnsi="黑体" w:eastAsia="黑体"/>
          <w:b/>
          <w:color w:val="000000"/>
          <w:sz w:val="24"/>
        </w:rPr>
        <w:t>2.5 五步流水线技术路线</w:t>
      </w:r>
    </w:p>
    <w:p>
      <w:pPr>
        <w:spacing w:line="360" w:lineRule="auto"/>
        <w:ind w:firstLine="480"/>
        <w:jc w:val="both"/>
      </w:pPr>
      <w:r>
        <w:t>本文的方法论核心是一条端到端的五步流水线，其逻辑链条为：</w:t>
      </w:r>
    </w:p>
    <w:p>
      <w:pPr>
        <w:ind w:left="567"/>
      </w:pPr>
      <w:r>
        <w:rPr>
          <w:i w:val="0"/>
          <w:sz w:val="22"/>
        </w:rPr>
        <w:t>**步骤一 数据获取**（巨潮资讯网年报解析→MD&amp;A语料面板，本作业为同构模拟语料）→ **步骤二 文本预处理**（jieba分词＋停用词过滤＋清洗）→ **步骤三 测度构造**（金融情感词典→净语调指数Tone与备择测度Tone2）→ **步骤四 信效度检验**（分半信度＋效标效度＋评分者间信度）→ **步骤五 回归分析**（OLS＋年份固定效应＋稳健性检验）</w:t>
      </w:r>
    </w:p>
    <w:p>
      <w:pPr>
        <w:spacing w:line="360" w:lineRule="auto"/>
        <w:ind w:firstLine="480"/>
        <w:jc w:val="both"/>
      </w:pPr>
      <w:r>
        <w:t>流水线的每一环都有明确的输入、输出与代码落点：步骤一输出`data/raw_corpus.csv`；步骤二输出分词后的词序列；步骤三输出`results/测度结果表.csv`（600条企业—年份语调面板）；步骤四输出`results/信效度检验.txt`；步骤五输出`results/回归结果.csv`与描述性统计表。全流程可由`python code/pipeline.py`一键复现。需要强调的是，步骤四被设计为进入步骤五的前置关卡：只有当信效度指标达到可接受阈值（分半信度≥0.70、效标相关≥0.70）后，测度才有资格进入回归模型，这是本文区别于既有文献的重要方法学安排。</w:t>
      </w:r>
    </w:p>
    <w:p>
      <w:pPr>
        <w:pStyle w:val="Heading2"/>
      </w:pPr>
      <w:r>
        <w:rPr>
          <w:rFonts w:ascii="黑体" w:hAnsi="黑体" w:eastAsia="黑体"/>
          <w:b/>
          <w:color w:val="000000"/>
          <w:sz w:val="28"/>
        </w:rPr>
        <w:t>3. 分析</w:t>
      </w:r>
    </w:p>
    <w:p>
      <w:pPr>
        <w:pStyle w:val="Heading3"/>
      </w:pPr>
      <w:r>
        <w:rPr>
          <w:rFonts w:ascii="黑体" w:hAnsi="黑体" w:eastAsia="黑体"/>
          <w:b/>
          <w:color w:val="000000"/>
          <w:sz w:val="24"/>
        </w:rPr>
        <w:t>3.1 描述性统计</w:t>
      </w:r>
    </w:p>
    <w:p>
      <w:pPr>
        <w:spacing w:line="360" w:lineRule="auto"/>
        <w:ind w:firstLine="480"/>
        <w:jc w:val="both"/>
      </w:pPr>
      <w:r>
        <w:t>表1报告了主要变量的描述性统计（N=600）。核心解释变量Tone的均值为0.656，标准差为0.330，最小值为−0.677，最大值为1.000。均值明显大于零，表明样本公司MD&amp;A文本整体呈正面语调，这与年报信息披露的制度背景一致——管理层在正式披露文件中倾向于报喜多于报忧。Tone的取值横跨悲观与极端乐观区间，横截面差异充分，具备进行回归分析的条件。正面词平均命中25.47次（标准差10.50），负面词平均命中4.38次（标准差3.78），正面词命中次数约为负面词的5.8倍，进一步印证了年报文本的乐观倾向。</w:t>
      </w:r>
    </w:p>
    <w:p>
      <w:pPr>
        <w:spacing w:line="360" w:lineRule="auto"/>
        <w:ind w:firstLine="480"/>
        <w:jc w:val="both"/>
      </w:pPr>
      <w:r>
        <w:t>词典覆盖度（coverage）均值为10.59%（标准差2.34%，最小4.91%，最大18.45%），即MD&amp;A文本中约十分之一的词汇可被情感词典直接识别。该水平与中文文本研究常见的覆盖度区间相当：由于本文词典仅73词，能取得约10%的覆盖度说明词典与语料适配良好；同时覆盖度分布集中（变异系数约0.22），不存在个别样本因覆盖度过低而由噪声主导测度的情形。</w:t>
      </w:r>
    </w:p>
    <w:p>
      <w:pPr>
        <w:spacing w:line="360" w:lineRule="auto"/>
        <w:ind w:firstLine="480"/>
        <w:jc w:val="both"/>
      </w:pPr>
      <w:r>
        <w:t>被解释变量下一年度ROA均值为0.038，标准差0.027，最小值−0.064，最大值0.120，涵盖了亏损与高盈利公司，分布合理。控制变量方面，公司规模（总资产对数）均值22.00，资产负债率均值0.434，营业收入增长率均值0.105，均处于A股上市公司的常见区间，且各自保留充分的横截面变异，为回归中的识别提供了条件。</w:t>
      </w:r>
    </w:p>
    <w:p>
      <w:pPr>
        <w:jc w:val="center"/>
      </w:pPr>
      <w:r>
        <w:rPr>
          <w:b/>
        </w:rPr>
        <w:t>表1 主要变量描述性统计</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center"/>
            </w:pPr>
            <w:r>
              <w:rPr>
                <w:b/>
                <w:sz w:val="21"/>
              </w:rPr>
              <w:t>变量</w:t>
            </w:r>
          </w:p>
        </w:tc>
        <w:tc>
          <w:tcPr>
            <w:tcW w:type="dxa" w:w="1234"/>
          </w:tcPr>
          <w:p>
            <w:pPr>
              <w:jc w:val="center"/>
            </w:pPr>
            <w:r>
              <w:rPr>
                <w:b/>
                <w:sz w:val="21"/>
              </w:rPr>
              <w:t>N</w:t>
            </w:r>
          </w:p>
        </w:tc>
        <w:tc>
          <w:tcPr>
            <w:tcW w:type="dxa" w:w="1234"/>
          </w:tcPr>
          <w:p>
            <w:pPr>
              <w:jc w:val="center"/>
            </w:pPr>
            <w:r>
              <w:rPr>
                <w:b/>
                <w:sz w:val="21"/>
              </w:rPr>
              <w:t>均值</w:t>
            </w:r>
          </w:p>
        </w:tc>
        <w:tc>
          <w:tcPr>
            <w:tcW w:type="dxa" w:w="1234"/>
          </w:tcPr>
          <w:p>
            <w:pPr>
              <w:jc w:val="center"/>
            </w:pPr>
            <w:r>
              <w:rPr>
                <w:b/>
                <w:sz w:val="21"/>
              </w:rPr>
              <w:t>标准差</w:t>
            </w:r>
          </w:p>
        </w:tc>
        <w:tc>
          <w:tcPr>
            <w:tcW w:type="dxa" w:w="1234"/>
          </w:tcPr>
          <w:p>
            <w:pPr>
              <w:jc w:val="center"/>
            </w:pPr>
            <w:r>
              <w:rPr>
                <w:b/>
                <w:sz w:val="21"/>
              </w:rPr>
              <w:t>最小值</w:t>
            </w:r>
          </w:p>
        </w:tc>
        <w:tc>
          <w:tcPr>
            <w:tcW w:type="dxa" w:w="1234"/>
          </w:tcPr>
          <w:p>
            <w:pPr>
              <w:jc w:val="center"/>
            </w:pPr>
            <w:r>
              <w:rPr>
                <w:b/>
                <w:sz w:val="21"/>
              </w:rPr>
              <w:t>中位数</w:t>
            </w:r>
          </w:p>
        </w:tc>
        <w:tc>
          <w:tcPr>
            <w:tcW w:type="dxa" w:w="1234"/>
          </w:tcPr>
          <w:p>
            <w:pPr>
              <w:jc w:val="center"/>
            </w:pPr>
            <w:r>
              <w:rPr>
                <w:b/>
                <w:sz w:val="21"/>
              </w:rPr>
              <w:t>最大值</w:t>
            </w:r>
          </w:p>
        </w:tc>
      </w:tr>
      <w:tr>
        <w:tc>
          <w:tcPr>
            <w:tcW w:type="dxa" w:w="1234"/>
          </w:tcPr>
          <w:p>
            <w:pPr>
              <w:jc w:val="center"/>
            </w:pPr>
            <w:r>
              <w:rPr>
                <w:b w:val="0"/>
                <w:sz w:val="21"/>
              </w:rPr>
              <w:t>Tone</w:t>
            </w:r>
          </w:p>
        </w:tc>
        <w:tc>
          <w:tcPr>
            <w:tcW w:type="dxa" w:w="1234"/>
          </w:tcPr>
          <w:p>
            <w:pPr>
              <w:jc w:val="center"/>
            </w:pPr>
            <w:r>
              <w:rPr>
                <w:b w:val="0"/>
                <w:sz w:val="21"/>
              </w:rPr>
              <w:t>600</w:t>
            </w:r>
          </w:p>
        </w:tc>
        <w:tc>
          <w:tcPr>
            <w:tcW w:type="dxa" w:w="1234"/>
          </w:tcPr>
          <w:p>
            <w:pPr>
              <w:jc w:val="center"/>
            </w:pPr>
            <w:r>
              <w:rPr>
                <w:b w:val="0"/>
                <w:sz w:val="21"/>
              </w:rPr>
              <w:t>0.656</w:t>
            </w:r>
          </w:p>
        </w:tc>
        <w:tc>
          <w:tcPr>
            <w:tcW w:type="dxa" w:w="1234"/>
          </w:tcPr>
          <w:p>
            <w:pPr>
              <w:jc w:val="center"/>
            </w:pPr>
            <w:r>
              <w:rPr>
                <w:b w:val="0"/>
                <w:sz w:val="21"/>
              </w:rPr>
              <w:t>0.330</w:t>
            </w:r>
          </w:p>
        </w:tc>
        <w:tc>
          <w:tcPr>
            <w:tcW w:type="dxa" w:w="1234"/>
          </w:tcPr>
          <w:p>
            <w:pPr>
              <w:jc w:val="center"/>
            </w:pPr>
            <w:r>
              <w:rPr>
                <w:b w:val="0"/>
                <w:sz w:val="21"/>
              </w:rPr>
              <w:t>−0.677</w:t>
            </w:r>
          </w:p>
        </w:tc>
        <w:tc>
          <w:tcPr>
            <w:tcW w:type="dxa" w:w="1234"/>
          </w:tcPr>
          <w:p>
            <w:pPr>
              <w:jc w:val="center"/>
            </w:pPr>
            <w:r>
              <w:rPr>
                <w:b w:val="0"/>
                <w:sz w:val="21"/>
              </w:rPr>
              <w:t>0.762</w:t>
            </w:r>
          </w:p>
        </w:tc>
        <w:tc>
          <w:tcPr>
            <w:tcW w:type="dxa" w:w="1234"/>
          </w:tcPr>
          <w:p>
            <w:pPr>
              <w:jc w:val="center"/>
            </w:pPr>
            <w:r>
              <w:rPr>
                <w:b w:val="0"/>
                <w:sz w:val="21"/>
              </w:rPr>
              <w:t>1.000</w:t>
            </w:r>
          </w:p>
        </w:tc>
      </w:tr>
      <w:tr>
        <w:tc>
          <w:tcPr>
            <w:tcW w:type="dxa" w:w="1234"/>
          </w:tcPr>
          <w:p>
            <w:pPr>
              <w:jc w:val="center"/>
            </w:pPr>
            <w:r>
              <w:rPr>
                <w:b w:val="0"/>
                <w:sz w:val="21"/>
              </w:rPr>
              <w:t>Tone2</w:t>
            </w:r>
          </w:p>
        </w:tc>
        <w:tc>
          <w:tcPr>
            <w:tcW w:type="dxa" w:w="1234"/>
          </w:tcPr>
          <w:p>
            <w:pPr>
              <w:jc w:val="center"/>
            </w:pPr>
            <w:r>
              <w:rPr>
                <w:b w:val="0"/>
                <w:sz w:val="21"/>
              </w:rPr>
              <w:t>600</w:t>
            </w:r>
          </w:p>
        </w:tc>
        <w:tc>
          <w:tcPr>
            <w:tcW w:type="dxa" w:w="1234"/>
          </w:tcPr>
          <w:p>
            <w:pPr>
              <w:jc w:val="center"/>
            </w:pPr>
            <w:r>
              <w:rPr>
                <w:b w:val="0"/>
                <w:sz w:val="21"/>
              </w:rPr>
              <w:t>0.074</w:t>
            </w:r>
          </w:p>
        </w:tc>
        <w:tc>
          <w:tcPr>
            <w:tcW w:type="dxa" w:w="1234"/>
          </w:tcPr>
          <w:p>
            <w:pPr>
              <w:jc w:val="center"/>
            </w:pPr>
            <w:r>
              <w:rPr>
                <w:b w:val="0"/>
                <w:sz w:val="21"/>
              </w:rPr>
              <w:t>0.043</w:t>
            </w:r>
          </w:p>
        </w:tc>
        <w:tc>
          <w:tcPr>
            <w:tcW w:type="dxa" w:w="1234"/>
          </w:tcPr>
          <w:p>
            <w:pPr>
              <w:jc w:val="center"/>
            </w:pPr>
            <w:r>
              <w:rPr>
                <w:b w:val="0"/>
                <w:sz w:val="21"/>
              </w:rPr>
              <w:t>−0.075</w:t>
            </w:r>
          </w:p>
        </w:tc>
        <w:tc>
          <w:tcPr>
            <w:tcW w:type="dxa" w:w="1234"/>
          </w:tcPr>
          <w:p>
            <w:pPr>
              <w:jc w:val="center"/>
            </w:pPr>
            <w:r>
              <w:rPr>
                <w:b w:val="0"/>
                <w:sz w:val="21"/>
              </w:rPr>
              <w:t>0.080</w:t>
            </w:r>
          </w:p>
        </w:tc>
        <w:tc>
          <w:tcPr>
            <w:tcW w:type="dxa" w:w="1234"/>
          </w:tcPr>
          <w:p>
            <w:pPr>
              <w:jc w:val="center"/>
            </w:pPr>
            <w:r>
              <w:rPr>
                <w:b w:val="0"/>
                <w:sz w:val="21"/>
              </w:rPr>
              <w:t>0.166</w:t>
            </w:r>
          </w:p>
        </w:tc>
      </w:tr>
      <w:tr>
        <w:tc>
          <w:tcPr>
            <w:tcW w:type="dxa" w:w="1234"/>
          </w:tcPr>
          <w:p>
            <w:pPr>
              <w:jc w:val="center"/>
            </w:pPr>
            <w:r>
              <w:rPr>
                <w:b w:val="0"/>
                <w:sz w:val="21"/>
              </w:rPr>
              <w:t>正面词数</w:t>
            </w:r>
          </w:p>
        </w:tc>
        <w:tc>
          <w:tcPr>
            <w:tcW w:type="dxa" w:w="1234"/>
          </w:tcPr>
          <w:p>
            <w:pPr>
              <w:jc w:val="center"/>
            </w:pPr>
            <w:r>
              <w:rPr>
                <w:b w:val="0"/>
                <w:sz w:val="21"/>
              </w:rPr>
              <w:t>600</w:t>
            </w:r>
          </w:p>
        </w:tc>
        <w:tc>
          <w:tcPr>
            <w:tcW w:type="dxa" w:w="1234"/>
          </w:tcPr>
          <w:p>
            <w:pPr>
              <w:jc w:val="center"/>
            </w:pPr>
            <w:r>
              <w:rPr>
                <w:b w:val="0"/>
                <w:sz w:val="21"/>
              </w:rPr>
              <w:t>25.47</w:t>
            </w:r>
          </w:p>
        </w:tc>
        <w:tc>
          <w:tcPr>
            <w:tcW w:type="dxa" w:w="1234"/>
          </w:tcPr>
          <w:p>
            <w:pPr>
              <w:jc w:val="center"/>
            </w:pPr>
            <w:r>
              <w:rPr>
                <w:b w:val="0"/>
                <w:sz w:val="21"/>
              </w:rPr>
              <w:t>10.50</w:t>
            </w:r>
          </w:p>
        </w:tc>
        <w:tc>
          <w:tcPr>
            <w:tcW w:type="dxa" w:w="1234"/>
          </w:tcPr>
          <w:p>
            <w:pPr>
              <w:jc w:val="center"/>
            </w:pPr>
            <w:r>
              <w:rPr>
                <w:b w:val="0"/>
                <w:sz w:val="21"/>
              </w:rPr>
              <w:t>4</w:t>
            </w:r>
          </w:p>
        </w:tc>
        <w:tc>
          <w:tcPr>
            <w:tcW w:type="dxa" w:w="1234"/>
          </w:tcPr>
          <w:p>
            <w:pPr>
              <w:jc w:val="center"/>
            </w:pPr>
            <w:r>
              <w:rPr>
                <w:b w:val="0"/>
                <w:sz w:val="21"/>
              </w:rPr>
              <w:t>25</w:t>
            </w:r>
          </w:p>
        </w:tc>
        <w:tc>
          <w:tcPr>
            <w:tcW w:type="dxa" w:w="1234"/>
          </w:tcPr>
          <w:p>
            <w:pPr>
              <w:jc w:val="center"/>
            </w:pPr>
            <w:r>
              <w:rPr>
                <w:b w:val="0"/>
                <w:sz w:val="21"/>
              </w:rPr>
              <w:t>58</w:t>
            </w:r>
          </w:p>
        </w:tc>
      </w:tr>
      <w:tr>
        <w:tc>
          <w:tcPr>
            <w:tcW w:type="dxa" w:w="1234"/>
          </w:tcPr>
          <w:p>
            <w:pPr>
              <w:jc w:val="center"/>
            </w:pPr>
            <w:r>
              <w:rPr>
                <w:b w:val="0"/>
                <w:sz w:val="21"/>
              </w:rPr>
              <w:t>负面词数</w:t>
            </w:r>
          </w:p>
        </w:tc>
        <w:tc>
          <w:tcPr>
            <w:tcW w:type="dxa" w:w="1234"/>
          </w:tcPr>
          <w:p>
            <w:pPr>
              <w:jc w:val="center"/>
            </w:pPr>
            <w:r>
              <w:rPr>
                <w:b w:val="0"/>
                <w:sz w:val="21"/>
              </w:rPr>
              <w:t>600</w:t>
            </w:r>
          </w:p>
        </w:tc>
        <w:tc>
          <w:tcPr>
            <w:tcW w:type="dxa" w:w="1234"/>
          </w:tcPr>
          <w:p>
            <w:pPr>
              <w:jc w:val="center"/>
            </w:pPr>
            <w:r>
              <w:rPr>
                <w:b w:val="0"/>
                <w:sz w:val="21"/>
              </w:rPr>
              <w:t>4.38</w:t>
            </w:r>
          </w:p>
        </w:tc>
        <w:tc>
          <w:tcPr>
            <w:tcW w:type="dxa" w:w="1234"/>
          </w:tcPr>
          <w:p>
            <w:pPr>
              <w:jc w:val="center"/>
            </w:pPr>
            <w:r>
              <w:rPr>
                <w:b w:val="0"/>
                <w:sz w:val="21"/>
              </w:rPr>
              <w:t>3.78</w:t>
            </w:r>
          </w:p>
        </w:tc>
        <w:tc>
          <w:tcPr>
            <w:tcW w:type="dxa" w:w="1234"/>
          </w:tcPr>
          <w:p>
            <w:pPr>
              <w:jc w:val="center"/>
            </w:pPr>
            <w:r>
              <w:rPr>
                <w:b w:val="0"/>
                <w:sz w:val="21"/>
              </w:rPr>
              <w:t>0</w:t>
            </w:r>
          </w:p>
        </w:tc>
        <w:tc>
          <w:tcPr>
            <w:tcW w:type="dxa" w:w="1234"/>
          </w:tcPr>
          <w:p>
            <w:pPr>
              <w:jc w:val="center"/>
            </w:pPr>
            <w:r>
              <w:rPr>
                <w:b w:val="0"/>
                <w:sz w:val="21"/>
              </w:rPr>
              <w:t>3</w:t>
            </w:r>
          </w:p>
        </w:tc>
        <w:tc>
          <w:tcPr>
            <w:tcW w:type="dxa" w:w="1234"/>
          </w:tcPr>
          <w:p>
            <w:pPr>
              <w:jc w:val="center"/>
            </w:pPr>
            <w:r>
              <w:rPr>
                <w:b w:val="0"/>
                <w:sz w:val="21"/>
              </w:rPr>
              <w:t>26</w:t>
            </w:r>
          </w:p>
        </w:tc>
      </w:tr>
      <w:tr>
        <w:tc>
          <w:tcPr>
            <w:tcW w:type="dxa" w:w="1234"/>
          </w:tcPr>
          <w:p>
            <w:pPr>
              <w:jc w:val="center"/>
            </w:pPr>
            <w:r>
              <w:rPr>
                <w:b w:val="0"/>
                <w:sz w:val="21"/>
              </w:rPr>
              <w:t>词典覆盖度</w:t>
            </w:r>
          </w:p>
        </w:tc>
        <w:tc>
          <w:tcPr>
            <w:tcW w:type="dxa" w:w="1234"/>
          </w:tcPr>
          <w:p>
            <w:pPr>
              <w:jc w:val="center"/>
            </w:pPr>
            <w:r>
              <w:rPr>
                <w:b w:val="0"/>
                <w:sz w:val="21"/>
              </w:rPr>
              <w:t>600</w:t>
            </w:r>
          </w:p>
        </w:tc>
        <w:tc>
          <w:tcPr>
            <w:tcW w:type="dxa" w:w="1234"/>
          </w:tcPr>
          <w:p>
            <w:pPr>
              <w:jc w:val="center"/>
            </w:pPr>
            <w:r>
              <w:rPr>
                <w:b w:val="0"/>
                <w:sz w:val="21"/>
              </w:rPr>
              <w:t>0.106</w:t>
            </w:r>
          </w:p>
        </w:tc>
        <w:tc>
          <w:tcPr>
            <w:tcW w:type="dxa" w:w="1234"/>
          </w:tcPr>
          <w:p>
            <w:pPr>
              <w:jc w:val="center"/>
            </w:pPr>
            <w:r>
              <w:rPr>
                <w:b w:val="0"/>
                <w:sz w:val="21"/>
              </w:rPr>
              <w:t>0.023</w:t>
            </w:r>
          </w:p>
        </w:tc>
        <w:tc>
          <w:tcPr>
            <w:tcW w:type="dxa" w:w="1234"/>
          </w:tcPr>
          <w:p>
            <w:pPr>
              <w:jc w:val="center"/>
            </w:pPr>
            <w:r>
              <w:rPr>
                <w:b w:val="0"/>
                <w:sz w:val="21"/>
              </w:rPr>
              <w:t>0.049</w:t>
            </w:r>
          </w:p>
        </w:tc>
        <w:tc>
          <w:tcPr>
            <w:tcW w:type="dxa" w:w="1234"/>
          </w:tcPr>
          <w:p>
            <w:pPr>
              <w:jc w:val="center"/>
            </w:pPr>
            <w:r>
              <w:rPr>
                <w:b w:val="0"/>
                <w:sz w:val="21"/>
              </w:rPr>
              <w:t>0.106</w:t>
            </w:r>
          </w:p>
        </w:tc>
        <w:tc>
          <w:tcPr>
            <w:tcW w:type="dxa" w:w="1234"/>
          </w:tcPr>
          <w:p>
            <w:pPr>
              <w:jc w:val="center"/>
            </w:pPr>
            <w:r>
              <w:rPr>
                <w:b w:val="0"/>
                <w:sz w:val="21"/>
              </w:rPr>
              <w:t>0.185</w:t>
            </w:r>
          </w:p>
        </w:tc>
      </w:tr>
      <w:tr>
        <w:tc>
          <w:tcPr>
            <w:tcW w:type="dxa" w:w="1234"/>
          </w:tcPr>
          <w:p>
            <w:pPr>
              <w:jc w:val="center"/>
            </w:pPr>
            <w:r>
              <w:rPr>
                <w:b w:val="0"/>
                <w:sz w:val="21"/>
              </w:rPr>
              <w:t>ROA(t+1)</w:t>
            </w:r>
          </w:p>
        </w:tc>
        <w:tc>
          <w:tcPr>
            <w:tcW w:type="dxa" w:w="1234"/>
          </w:tcPr>
          <w:p>
            <w:pPr>
              <w:jc w:val="center"/>
            </w:pPr>
            <w:r>
              <w:rPr>
                <w:b w:val="0"/>
                <w:sz w:val="21"/>
              </w:rPr>
              <w:t>600</w:t>
            </w:r>
          </w:p>
        </w:tc>
        <w:tc>
          <w:tcPr>
            <w:tcW w:type="dxa" w:w="1234"/>
          </w:tcPr>
          <w:p>
            <w:pPr>
              <w:jc w:val="center"/>
            </w:pPr>
            <w:r>
              <w:rPr>
                <w:b w:val="0"/>
                <w:sz w:val="21"/>
              </w:rPr>
              <w:t>0.038</w:t>
            </w:r>
          </w:p>
        </w:tc>
        <w:tc>
          <w:tcPr>
            <w:tcW w:type="dxa" w:w="1234"/>
          </w:tcPr>
          <w:p>
            <w:pPr>
              <w:jc w:val="center"/>
            </w:pPr>
            <w:r>
              <w:rPr>
                <w:b w:val="0"/>
                <w:sz w:val="21"/>
              </w:rPr>
              <w:t>0.027</w:t>
            </w:r>
          </w:p>
        </w:tc>
        <w:tc>
          <w:tcPr>
            <w:tcW w:type="dxa" w:w="1234"/>
          </w:tcPr>
          <w:p>
            <w:pPr>
              <w:jc w:val="center"/>
            </w:pPr>
            <w:r>
              <w:rPr>
                <w:b w:val="0"/>
                <w:sz w:val="21"/>
              </w:rPr>
              <w:t>−0.064</w:t>
            </w:r>
          </w:p>
        </w:tc>
        <w:tc>
          <w:tcPr>
            <w:tcW w:type="dxa" w:w="1234"/>
          </w:tcPr>
          <w:p>
            <w:pPr>
              <w:jc w:val="center"/>
            </w:pPr>
            <w:r>
              <w:rPr>
                <w:b w:val="0"/>
                <w:sz w:val="21"/>
              </w:rPr>
              <w:t>0.038</w:t>
            </w:r>
          </w:p>
        </w:tc>
        <w:tc>
          <w:tcPr>
            <w:tcW w:type="dxa" w:w="1234"/>
          </w:tcPr>
          <w:p>
            <w:pPr>
              <w:jc w:val="center"/>
            </w:pPr>
            <w:r>
              <w:rPr>
                <w:b w:val="0"/>
                <w:sz w:val="21"/>
              </w:rPr>
              <w:t>0.120</w:t>
            </w:r>
          </w:p>
        </w:tc>
      </w:tr>
      <w:tr>
        <w:tc>
          <w:tcPr>
            <w:tcW w:type="dxa" w:w="1234"/>
          </w:tcPr>
          <w:p>
            <w:pPr>
              <w:jc w:val="center"/>
            </w:pPr>
            <w:r>
              <w:rPr>
                <w:b w:val="0"/>
                <w:sz w:val="21"/>
              </w:rPr>
              <w:t>Size</w:t>
            </w:r>
          </w:p>
        </w:tc>
        <w:tc>
          <w:tcPr>
            <w:tcW w:type="dxa" w:w="1234"/>
          </w:tcPr>
          <w:p>
            <w:pPr>
              <w:jc w:val="center"/>
            </w:pPr>
            <w:r>
              <w:rPr>
                <w:b w:val="0"/>
                <w:sz w:val="21"/>
              </w:rPr>
              <w:t>600</w:t>
            </w:r>
          </w:p>
        </w:tc>
        <w:tc>
          <w:tcPr>
            <w:tcW w:type="dxa" w:w="1234"/>
          </w:tcPr>
          <w:p>
            <w:pPr>
              <w:jc w:val="center"/>
            </w:pPr>
            <w:r>
              <w:rPr>
                <w:b w:val="0"/>
                <w:sz w:val="21"/>
              </w:rPr>
              <w:t>22.002</w:t>
            </w:r>
          </w:p>
        </w:tc>
        <w:tc>
          <w:tcPr>
            <w:tcW w:type="dxa" w:w="1234"/>
          </w:tcPr>
          <w:p>
            <w:pPr>
              <w:jc w:val="center"/>
            </w:pPr>
            <w:r>
              <w:rPr>
                <w:b w:val="0"/>
                <w:sz w:val="21"/>
              </w:rPr>
              <w:t>1.118</w:t>
            </w:r>
          </w:p>
        </w:tc>
        <w:tc>
          <w:tcPr>
            <w:tcW w:type="dxa" w:w="1234"/>
          </w:tcPr>
          <w:p>
            <w:pPr>
              <w:jc w:val="center"/>
            </w:pPr>
            <w:r>
              <w:rPr>
                <w:b w:val="0"/>
                <w:sz w:val="21"/>
              </w:rPr>
              <w:t>19.176</w:t>
            </w:r>
          </w:p>
        </w:tc>
        <w:tc>
          <w:tcPr>
            <w:tcW w:type="dxa" w:w="1234"/>
          </w:tcPr>
          <w:p>
            <w:pPr>
              <w:jc w:val="center"/>
            </w:pPr>
            <w:r>
              <w:rPr>
                <w:b w:val="0"/>
                <w:sz w:val="21"/>
              </w:rPr>
              <w:t>22.027</w:t>
            </w:r>
          </w:p>
        </w:tc>
        <w:tc>
          <w:tcPr>
            <w:tcW w:type="dxa" w:w="1234"/>
          </w:tcPr>
          <w:p>
            <w:pPr>
              <w:jc w:val="center"/>
            </w:pPr>
            <w:r>
              <w:rPr>
                <w:b w:val="0"/>
                <w:sz w:val="21"/>
              </w:rPr>
              <w:t>24.984</w:t>
            </w:r>
          </w:p>
        </w:tc>
      </w:tr>
      <w:tr>
        <w:tc>
          <w:tcPr>
            <w:tcW w:type="dxa" w:w="1234"/>
          </w:tcPr>
          <w:p>
            <w:pPr>
              <w:jc w:val="center"/>
            </w:pPr>
            <w:r>
              <w:rPr>
                <w:b w:val="0"/>
                <w:sz w:val="21"/>
              </w:rPr>
              <w:t>Lev</w:t>
            </w:r>
          </w:p>
        </w:tc>
        <w:tc>
          <w:tcPr>
            <w:tcW w:type="dxa" w:w="1234"/>
          </w:tcPr>
          <w:p>
            <w:pPr>
              <w:jc w:val="center"/>
            </w:pPr>
            <w:r>
              <w:rPr>
                <w:b w:val="0"/>
                <w:sz w:val="21"/>
              </w:rPr>
              <w:t>600</w:t>
            </w:r>
          </w:p>
        </w:tc>
        <w:tc>
          <w:tcPr>
            <w:tcW w:type="dxa" w:w="1234"/>
          </w:tcPr>
          <w:p>
            <w:pPr>
              <w:jc w:val="center"/>
            </w:pPr>
            <w:r>
              <w:rPr>
                <w:b w:val="0"/>
                <w:sz w:val="21"/>
              </w:rPr>
              <w:t>0.434</w:t>
            </w:r>
          </w:p>
        </w:tc>
        <w:tc>
          <w:tcPr>
            <w:tcW w:type="dxa" w:w="1234"/>
          </w:tcPr>
          <w:p>
            <w:pPr>
              <w:jc w:val="center"/>
            </w:pPr>
            <w:r>
              <w:rPr>
                <w:b w:val="0"/>
                <w:sz w:val="21"/>
              </w:rPr>
              <w:t>0.140</w:t>
            </w:r>
          </w:p>
        </w:tc>
        <w:tc>
          <w:tcPr>
            <w:tcW w:type="dxa" w:w="1234"/>
          </w:tcPr>
          <w:p>
            <w:pPr>
              <w:jc w:val="center"/>
            </w:pPr>
            <w:r>
              <w:rPr>
                <w:b w:val="0"/>
                <w:sz w:val="21"/>
              </w:rPr>
              <w:t>0.053</w:t>
            </w:r>
          </w:p>
        </w:tc>
        <w:tc>
          <w:tcPr>
            <w:tcW w:type="dxa" w:w="1234"/>
          </w:tcPr>
          <w:p>
            <w:pPr>
              <w:jc w:val="center"/>
            </w:pPr>
            <w:r>
              <w:rPr>
                <w:b w:val="0"/>
                <w:sz w:val="21"/>
              </w:rPr>
              <w:t>0.437</w:t>
            </w:r>
          </w:p>
        </w:tc>
        <w:tc>
          <w:tcPr>
            <w:tcW w:type="dxa" w:w="1234"/>
          </w:tcPr>
          <w:p>
            <w:pPr>
              <w:jc w:val="center"/>
            </w:pPr>
            <w:r>
              <w:rPr>
                <w:b w:val="0"/>
                <w:sz w:val="21"/>
              </w:rPr>
              <w:t>0.874</w:t>
            </w:r>
          </w:p>
        </w:tc>
      </w:tr>
      <w:tr>
        <w:tc>
          <w:tcPr>
            <w:tcW w:type="dxa" w:w="1234"/>
          </w:tcPr>
          <w:p>
            <w:pPr>
              <w:jc w:val="center"/>
            </w:pPr>
            <w:r>
              <w:rPr>
                <w:b w:val="0"/>
                <w:sz w:val="21"/>
              </w:rPr>
              <w:t>Growth</w:t>
            </w:r>
          </w:p>
        </w:tc>
        <w:tc>
          <w:tcPr>
            <w:tcW w:type="dxa" w:w="1234"/>
          </w:tcPr>
          <w:p>
            <w:pPr>
              <w:jc w:val="center"/>
            </w:pPr>
            <w:r>
              <w:rPr>
                <w:b w:val="0"/>
                <w:sz w:val="21"/>
              </w:rPr>
              <w:t>600</w:t>
            </w:r>
          </w:p>
        </w:tc>
        <w:tc>
          <w:tcPr>
            <w:tcW w:type="dxa" w:w="1234"/>
          </w:tcPr>
          <w:p>
            <w:pPr>
              <w:jc w:val="center"/>
            </w:pPr>
            <w:r>
              <w:rPr>
                <w:b w:val="0"/>
                <w:sz w:val="21"/>
              </w:rPr>
              <w:t>0.105</w:t>
            </w:r>
          </w:p>
        </w:tc>
        <w:tc>
          <w:tcPr>
            <w:tcW w:type="dxa" w:w="1234"/>
          </w:tcPr>
          <w:p>
            <w:pPr>
              <w:jc w:val="center"/>
            </w:pPr>
            <w:r>
              <w:rPr>
                <w:b w:val="0"/>
                <w:sz w:val="21"/>
              </w:rPr>
              <w:t>0.244</w:t>
            </w:r>
          </w:p>
        </w:tc>
        <w:tc>
          <w:tcPr>
            <w:tcW w:type="dxa" w:w="1234"/>
          </w:tcPr>
          <w:p>
            <w:pPr>
              <w:jc w:val="center"/>
            </w:pPr>
            <w:r>
              <w:rPr>
                <w:b w:val="0"/>
                <w:sz w:val="21"/>
              </w:rPr>
              <w:t>−0.683</w:t>
            </w:r>
          </w:p>
        </w:tc>
        <w:tc>
          <w:tcPr>
            <w:tcW w:type="dxa" w:w="1234"/>
          </w:tcPr>
          <w:p>
            <w:pPr>
              <w:jc w:val="center"/>
            </w:pPr>
            <w:r>
              <w:rPr>
                <w:b w:val="0"/>
                <w:sz w:val="21"/>
              </w:rPr>
              <w:t>0.099</w:t>
            </w:r>
          </w:p>
        </w:tc>
        <w:tc>
          <w:tcPr>
            <w:tcW w:type="dxa" w:w="1234"/>
          </w:tcPr>
          <w:p>
            <w:pPr>
              <w:jc w:val="center"/>
            </w:pPr>
            <w:r>
              <w:rPr>
                <w:b w:val="0"/>
                <w:sz w:val="21"/>
              </w:rPr>
              <w:t>0.841</w:t>
            </w:r>
          </w:p>
        </w:tc>
      </w:tr>
    </w:tbl>
    <w:p>
      <w:pPr>
        <w:pStyle w:val="Heading3"/>
      </w:pPr>
      <w:r>
        <w:rPr>
          <w:rFonts w:ascii="黑体" w:hAnsi="黑体" w:eastAsia="黑体"/>
          <w:b/>
          <w:color w:val="000000"/>
          <w:sz w:val="24"/>
        </w:rPr>
        <w:t>3.2 信度检验</w:t>
      </w:r>
    </w:p>
    <w:p>
      <w:pPr>
        <w:spacing w:line="360" w:lineRule="auto"/>
        <w:ind w:firstLine="480"/>
        <w:jc w:val="both"/>
      </w:pPr>
      <w:r>
        <w:t>信度回答的问题是：同一个构念的测度在重复测量下是否稳定。本文针对词典法语调测度的特点，设计了三项信度检验。</w:t>
      </w:r>
    </w:p>
    <w:p>
      <w:pPr>
        <w:spacing w:line="360" w:lineRule="auto"/>
        <w:ind w:firstLine="480"/>
        <w:jc w:val="both"/>
      </w:pPr>
      <w:r>
        <w:t>（1）词典分半信度。 将情感词典中的全部词目随机分为对等的两半（正面词、负面词各自独立对半分），用两半词典分别在同一语料上构造半测度Tone(A)与Tone(B)，计算二者相关系数；为消除单次随机划分的偶然性，重复进行20次随机分半并取相关系数均值。结果为：平均半测度相关r=0.694，经Spearman-Brown公式校正后的整体信度为 0.820，达到心理测量学中"良好"（0.8以上）的标准。这一结果说明：语调测度并非由词典中少数几个词目驱动，任意一半词目都能捕捉到基本一致的语调结构，测度具有内部一致性。</w:t>
      </w:r>
    </w:p>
    <w:p>
      <w:pPr>
        <w:spacing w:line="360" w:lineRule="auto"/>
        <w:ind w:firstLine="480"/>
        <w:jc w:val="both"/>
      </w:pPr>
      <w:r>
        <w:t>（2）重测稳定性（同语料同词典）。 词典法测度是确定性计算：同一条文本、同一部词典在重复运行下的测度完全一致（相关系数为1），因此词典法不存在算法层面的随机误差。真正的不确定性来源于词典的编制过程，而上述分半信度检验已直接量化了这一来源的不确定性。</w:t>
      </w:r>
    </w:p>
    <w:p>
      <w:pPr>
        <w:spacing w:line="360" w:lineRule="auto"/>
        <w:ind w:firstLine="480"/>
        <w:jc w:val="both"/>
      </w:pPr>
      <w:r>
        <w:t>（3）评分者间信度。 在效度检验的模拟人工标注环节（见3.3节），本文同时对子样本中两位独立标注者的打分计算了评分者间相关，结果为 r=0.843，接近常用判断标准（0.80），表明后续作为效标的人工评分本身是可靠的，效标效度的比较才有意义。</w:t>
      </w:r>
    </w:p>
    <w:p>
      <w:pPr>
        <w:pStyle w:val="Heading3"/>
      </w:pPr>
      <w:r>
        <w:rPr>
          <w:rFonts w:ascii="黑体" w:hAnsi="黑体" w:eastAsia="黑体"/>
          <w:b/>
          <w:color w:val="000000"/>
          <w:sz w:val="24"/>
        </w:rPr>
        <w:t>3.3 效度检验</w:t>
      </w:r>
    </w:p>
    <w:p>
      <w:pPr>
        <w:spacing w:line="360" w:lineRule="auto"/>
        <w:ind w:firstLine="480"/>
        <w:jc w:val="both"/>
      </w:pPr>
      <w:r>
        <w:t>效度回答的问题是：测度是否真正度量了"管理层语调"这一目标构念。本文重点检验效标效度（criterion validity）：以语调测度可获得的金标准为参照——在真实研究中，该环节的做法是随机抽取10%的样本（60条MD&amp;A文本），由两名经过培训的标注者在不了解机器测度结果的情况下，对每条文本的叙述倾向独立进行七级打分（−3=非常悲观，+3=非常乐观）；在本作业的模拟框架下，人工打分以真实语调为中心加注独立随机噪声生成，用以模拟人工标注的测量误差。检验结果为：机器测度Tone与人工平均评分的相关系数达 0.951，远高于0.70的方法学阈值。这说明词典法测度与人类专家对"语调"的判断高度一致，测度捕捉的对象与构念定义相符。</w:t>
      </w:r>
    </w:p>
    <w:p>
      <w:pPr>
        <w:spacing w:line="360" w:lineRule="auto"/>
        <w:ind w:firstLine="480"/>
        <w:jc w:val="both"/>
      </w:pPr>
      <w:r>
        <w:t>综合信度与效度两道质检：分半信度0.820、效标相关0.951、评分者间信度0.843，三项指标全部达标。据此可以判断，本文构建的语调测度通过了质量关卡，可以作为核心解释变量进入步骤五的回归分析。这一"先质检、后使用"的流程安排，保证了后续回归结论的根基牢固。</w:t>
      </w:r>
    </w:p>
    <w:p>
      <w:pPr>
        <w:pStyle w:val="Heading3"/>
      </w:pPr>
      <w:r>
        <w:rPr>
          <w:rFonts w:ascii="黑体" w:hAnsi="黑体" w:eastAsia="黑体"/>
          <w:b/>
          <w:color w:val="000000"/>
          <w:sz w:val="24"/>
        </w:rPr>
        <w:t>3.4 回归分析</w:t>
      </w:r>
    </w:p>
    <w:p>
      <w:pPr>
        <w:spacing w:line="360" w:lineRule="auto"/>
        <w:ind w:firstLine="480"/>
        <w:jc w:val="both"/>
      </w:pPr>
      <w:r>
        <w:t>模型设定如下：</w:t>
      </w:r>
    </w:p>
    <w:p>
      <w:pPr>
        <w:ind w:left="567"/>
      </w:pPr>
      <w:r>
        <w:rPr>
          <w:i w:val="0"/>
          <w:sz w:val="22"/>
        </w:rPr>
        <w:t>ROA(t+1) = α + β₁·Tone(t) + β₂·Size(t) + β₃·Lev(t) + β₄·Growth(t) + Σγ·Year + ε</w:t>
      </w:r>
    </w:p>
    <w:p>
      <w:pPr>
        <w:spacing w:line="360" w:lineRule="auto"/>
        <w:ind w:firstLine="480"/>
        <w:jc w:val="both"/>
      </w:pPr>
      <w:r>
        <w:t>其中被解释变量为下一年度总资产收益率，核心解释变量为当期语调Tone，控制变量包括公司规模、财务杠杆与成长性，并加入年份固定效应以吸收宏观年份冲击。采用OLS估计，样本量N=600。</w:t>
      </w:r>
    </w:p>
    <w:p>
      <w:pPr>
        <w:jc w:val="center"/>
      </w:pPr>
      <w:r>
        <w:rPr>
          <w:b/>
        </w:rPr>
        <w:t>表2 回归结果（被解释变量：ROA(t+1)）</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21"/>
              </w:rPr>
              <w:t>变量</w:t>
            </w:r>
          </w:p>
        </w:tc>
        <w:tc>
          <w:tcPr>
            <w:tcW w:type="dxa" w:w="1728"/>
          </w:tcPr>
          <w:p>
            <w:pPr>
              <w:jc w:val="center"/>
            </w:pPr>
            <w:r>
              <w:rPr>
                <w:b/>
                <w:sz w:val="21"/>
              </w:rPr>
              <w:t>系数</w:t>
            </w:r>
          </w:p>
        </w:tc>
        <w:tc>
          <w:tcPr>
            <w:tcW w:type="dxa" w:w="1728"/>
          </w:tcPr>
          <w:p>
            <w:pPr>
              <w:jc w:val="center"/>
            </w:pPr>
            <w:r>
              <w:rPr>
                <w:b/>
                <w:sz w:val="21"/>
              </w:rPr>
              <w:t>标准误</w:t>
            </w:r>
          </w:p>
        </w:tc>
        <w:tc>
          <w:tcPr>
            <w:tcW w:type="dxa" w:w="1728"/>
          </w:tcPr>
          <w:p>
            <w:pPr>
              <w:jc w:val="center"/>
            </w:pPr>
            <w:r>
              <w:rPr>
                <w:b/>
                <w:sz w:val="21"/>
              </w:rPr>
              <w:t>t值</w:t>
            </w:r>
          </w:p>
        </w:tc>
        <w:tc>
          <w:tcPr>
            <w:tcW w:type="dxa" w:w="1728"/>
          </w:tcPr>
          <w:p>
            <w:pPr>
              <w:jc w:val="center"/>
            </w:pPr>
            <w:r>
              <w:rPr>
                <w:b/>
                <w:sz w:val="21"/>
              </w:rPr>
              <w:t>p值</w:t>
            </w:r>
          </w:p>
        </w:tc>
      </w:tr>
      <w:tr>
        <w:tc>
          <w:tcPr>
            <w:tcW w:type="dxa" w:w="1728"/>
          </w:tcPr>
          <w:p>
            <w:pPr>
              <w:jc w:val="center"/>
            </w:pPr>
            <w:r>
              <w:rPr>
                <w:b w:val="0"/>
                <w:sz w:val="21"/>
              </w:rPr>
              <w:t>常数项</w:t>
            </w:r>
          </w:p>
        </w:tc>
        <w:tc>
          <w:tcPr>
            <w:tcW w:type="dxa" w:w="1728"/>
          </w:tcPr>
          <w:p>
            <w:pPr>
              <w:jc w:val="center"/>
            </w:pPr>
            <w:r>
              <w:rPr>
                <w:b w:val="0"/>
                <w:sz w:val="21"/>
              </w:rPr>
              <w:t>0.192</w:t>
            </w:r>
          </w:p>
        </w:tc>
        <w:tc>
          <w:tcPr>
            <w:tcW w:type="dxa" w:w="1728"/>
          </w:tcPr>
          <w:p>
            <w:pPr>
              <w:jc w:val="center"/>
            </w:pPr>
            <w:r>
              <w:rPr>
                <w:b w:val="0"/>
                <w:sz w:val="21"/>
              </w:rPr>
              <w:t>0.015</w:t>
            </w:r>
          </w:p>
        </w:tc>
        <w:tc>
          <w:tcPr>
            <w:tcW w:type="dxa" w:w="1728"/>
          </w:tcPr>
          <w:p>
            <w:pPr>
              <w:jc w:val="center"/>
            </w:pPr>
            <w:r>
              <w:rPr>
                <w:b w:val="0"/>
                <w:sz w:val="21"/>
              </w:rPr>
              <w:t>12.906</w:t>
            </w:r>
          </w:p>
        </w:tc>
        <w:tc>
          <w:tcPr>
            <w:tcW w:type="dxa" w:w="1728"/>
          </w:tcPr>
          <w:p>
            <w:pPr>
              <w:jc w:val="center"/>
            </w:pPr>
            <w:r>
              <w:rPr>
                <w:b w:val="0"/>
                <w:sz w:val="21"/>
              </w:rPr>
              <w:t>0.000</w:t>
            </w:r>
          </w:p>
        </w:tc>
      </w:tr>
      <w:tr>
        <w:tc>
          <w:tcPr>
            <w:tcW w:type="dxa" w:w="1728"/>
          </w:tcPr>
          <w:p>
            <w:pPr>
              <w:jc w:val="center"/>
            </w:pPr>
            <w:r>
              <w:rPr>
                <w:b w:val="0"/>
                <w:sz w:val="21"/>
              </w:rPr>
              <w:t>**Tone**</w:t>
            </w:r>
          </w:p>
        </w:tc>
        <w:tc>
          <w:tcPr>
            <w:tcW w:type="dxa" w:w="1728"/>
          </w:tcPr>
          <w:p>
            <w:pPr>
              <w:jc w:val="center"/>
            </w:pPr>
            <w:r>
              <w:rPr>
                <w:b w:val="0"/>
                <w:sz w:val="21"/>
              </w:rPr>
              <w:t>**0.049**</w:t>
            </w:r>
          </w:p>
        </w:tc>
        <w:tc>
          <w:tcPr>
            <w:tcW w:type="dxa" w:w="1728"/>
          </w:tcPr>
          <w:p>
            <w:pPr>
              <w:jc w:val="center"/>
            </w:pPr>
            <w:r>
              <w:rPr>
                <w:b w:val="0"/>
                <w:sz w:val="21"/>
              </w:rPr>
              <w:t>0.002</w:t>
            </w:r>
          </w:p>
        </w:tc>
        <w:tc>
          <w:tcPr>
            <w:tcW w:type="dxa" w:w="1728"/>
          </w:tcPr>
          <w:p>
            <w:pPr>
              <w:jc w:val="center"/>
            </w:pPr>
            <w:r>
              <w:rPr>
                <w:b w:val="0"/>
                <w:sz w:val="21"/>
              </w:rPr>
              <w:t>**21.713**</w:t>
            </w:r>
          </w:p>
        </w:tc>
        <w:tc>
          <w:tcPr>
            <w:tcW w:type="dxa" w:w="1728"/>
          </w:tcPr>
          <w:p>
            <w:pPr>
              <w:jc w:val="center"/>
            </w:pPr>
            <w:r>
              <w:rPr>
                <w:b w:val="0"/>
                <w:sz w:val="21"/>
              </w:rPr>
              <w:t>**0.000**</w:t>
            </w:r>
          </w:p>
        </w:tc>
      </w:tr>
      <w:tr>
        <w:tc>
          <w:tcPr>
            <w:tcW w:type="dxa" w:w="1728"/>
          </w:tcPr>
          <w:p>
            <w:pPr>
              <w:jc w:val="center"/>
            </w:pPr>
            <w:r>
              <w:rPr>
                <w:b w:val="0"/>
                <w:sz w:val="21"/>
              </w:rPr>
              <w:t>Size</w:t>
            </w:r>
          </w:p>
        </w:tc>
        <w:tc>
          <w:tcPr>
            <w:tcW w:type="dxa" w:w="1728"/>
          </w:tcPr>
          <w:p>
            <w:pPr>
              <w:jc w:val="center"/>
            </w:pPr>
            <w:r>
              <w:rPr>
                <w:b w:val="0"/>
                <w:sz w:val="21"/>
              </w:rPr>
              <w:t>−0.008</w:t>
            </w:r>
          </w:p>
        </w:tc>
        <w:tc>
          <w:tcPr>
            <w:tcW w:type="dxa" w:w="1728"/>
          </w:tcPr>
          <w:p>
            <w:pPr>
              <w:jc w:val="center"/>
            </w:pPr>
            <w:r>
              <w:rPr>
                <w:b w:val="0"/>
                <w:sz w:val="21"/>
              </w:rPr>
              <w:t>0.001</w:t>
            </w:r>
          </w:p>
        </w:tc>
        <w:tc>
          <w:tcPr>
            <w:tcW w:type="dxa" w:w="1728"/>
          </w:tcPr>
          <w:p>
            <w:pPr>
              <w:jc w:val="center"/>
            </w:pPr>
            <w:r>
              <w:rPr>
                <w:b w:val="0"/>
                <w:sz w:val="21"/>
              </w:rPr>
              <w:t>−12.155</w:t>
            </w:r>
          </w:p>
        </w:tc>
        <w:tc>
          <w:tcPr>
            <w:tcW w:type="dxa" w:w="1728"/>
          </w:tcPr>
          <w:p>
            <w:pPr>
              <w:jc w:val="center"/>
            </w:pPr>
            <w:r>
              <w:rPr>
                <w:b w:val="0"/>
                <w:sz w:val="21"/>
              </w:rPr>
              <w:t>0.000</w:t>
            </w:r>
          </w:p>
        </w:tc>
      </w:tr>
      <w:tr>
        <w:tc>
          <w:tcPr>
            <w:tcW w:type="dxa" w:w="1728"/>
          </w:tcPr>
          <w:p>
            <w:pPr>
              <w:jc w:val="center"/>
            </w:pPr>
            <w:r>
              <w:rPr>
                <w:b w:val="0"/>
                <w:sz w:val="21"/>
              </w:rPr>
              <w:t>Lev</w:t>
            </w:r>
          </w:p>
        </w:tc>
        <w:tc>
          <w:tcPr>
            <w:tcW w:type="dxa" w:w="1728"/>
          </w:tcPr>
          <w:p>
            <w:pPr>
              <w:jc w:val="center"/>
            </w:pPr>
            <w:r>
              <w:rPr>
                <w:b w:val="0"/>
                <w:sz w:val="21"/>
              </w:rPr>
              <w:t>−0.016</w:t>
            </w:r>
          </w:p>
        </w:tc>
        <w:tc>
          <w:tcPr>
            <w:tcW w:type="dxa" w:w="1728"/>
          </w:tcPr>
          <w:p>
            <w:pPr>
              <w:jc w:val="center"/>
            </w:pPr>
            <w:r>
              <w:rPr>
                <w:b w:val="0"/>
                <w:sz w:val="21"/>
              </w:rPr>
              <w:t>0.005</w:t>
            </w:r>
          </w:p>
        </w:tc>
        <w:tc>
          <w:tcPr>
            <w:tcW w:type="dxa" w:w="1728"/>
          </w:tcPr>
          <w:p>
            <w:pPr>
              <w:jc w:val="center"/>
            </w:pPr>
            <w:r>
              <w:rPr>
                <w:b w:val="0"/>
                <w:sz w:val="21"/>
              </w:rPr>
              <w:t>−2.907</w:t>
            </w:r>
          </w:p>
        </w:tc>
        <w:tc>
          <w:tcPr>
            <w:tcW w:type="dxa" w:w="1728"/>
          </w:tcPr>
          <w:p>
            <w:pPr>
              <w:jc w:val="center"/>
            </w:pPr>
            <w:r>
              <w:rPr>
                <w:b w:val="0"/>
                <w:sz w:val="21"/>
              </w:rPr>
              <w:t>0.004</w:t>
            </w:r>
          </w:p>
        </w:tc>
      </w:tr>
      <w:tr>
        <w:tc>
          <w:tcPr>
            <w:tcW w:type="dxa" w:w="1728"/>
          </w:tcPr>
          <w:p>
            <w:pPr>
              <w:jc w:val="center"/>
            </w:pPr>
            <w:r>
              <w:rPr>
                <w:b w:val="0"/>
                <w:sz w:val="21"/>
              </w:rPr>
              <w:t>Growth</w:t>
            </w:r>
          </w:p>
        </w:tc>
        <w:tc>
          <w:tcPr>
            <w:tcW w:type="dxa" w:w="1728"/>
          </w:tcPr>
          <w:p>
            <w:pPr>
              <w:jc w:val="center"/>
            </w:pPr>
            <w:r>
              <w:rPr>
                <w:b w:val="0"/>
                <w:sz w:val="21"/>
              </w:rPr>
              <w:t>0.002</w:t>
            </w:r>
          </w:p>
        </w:tc>
        <w:tc>
          <w:tcPr>
            <w:tcW w:type="dxa" w:w="1728"/>
          </w:tcPr>
          <w:p>
            <w:pPr>
              <w:jc w:val="center"/>
            </w:pPr>
            <w:r>
              <w:rPr>
                <w:b w:val="0"/>
                <w:sz w:val="21"/>
              </w:rPr>
              <w:t>0.003</w:t>
            </w:r>
          </w:p>
        </w:tc>
        <w:tc>
          <w:tcPr>
            <w:tcW w:type="dxa" w:w="1728"/>
          </w:tcPr>
          <w:p>
            <w:pPr>
              <w:jc w:val="center"/>
            </w:pPr>
            <w:r>
              <w:rPr>
                <w:b w:val="0"/>
                <w:sz w:val="21"/>
              </w:rPr>
              <w:t>0.588</w:t>
            </w:r>
          </w:p>
        </w:tc>
        <w:tc>
          <w:tcPr>
            <w:tcW w:type="dxa" w:w="1728"/>
          </w:tcPr>
          <w:p>
            <w:pPr>
              <w:jc w:val="center"/>
            </w:pPr>
            <w:r>
              <w:rPr>
                <w:b w:val="0"/>
                <w:sz w:val="21"/>
              </w:rPr>
              <w:t>0.557</w:t>
            </w:r>
          </w:p>
        </w:tc>
      </w:tr>
      <w:tr>
        <w:tc>
          <w:tcPr>
            <w:tcW w:type="dxa" w:w="1728"/>
          </w:tcPr>
          <w:p>
            <w:pPr>
              <w:jc w:val="center"/>
            </w:pPr>
            <w:r>
              <w:rPr>
                <w:b w:val="0"/>
                <w:sz w:val="21"/>
              </w:rPr>
              <w:t>年份2023虚拟</w:t>
            </w:r>
          </w:p>
        </w:tc>
        <w:tc>
          <w:tcPr>
            <w:tcW w:type="dxa" w:w="1728"/>
          </w:tcPr>
          <w:p>
            <w:pPr>
              <w:jc w:val="center"/>
            </w:pPr>
            <w:r>
              <w:rPr>
                <w:b w:val="0"/>
                <w:sz w:val="21"/>
              </w:rPr>
              <w:t>−0.000</w:t>
            </w:r>
          </w:p>
        </w:tc>
        <w:tc>
          <w:tcPr>
            <w:tcW w:type="dxa" w:w="1728"/>
          </w:tcPr>
          <w:p>
            <w:pPr>
              <w:jc w:val="center"/>
            </w:pPr>
            <w:r>
              <w:rPr>
                <w:b w:val="0"/>
                <w:sz w:val="21"/>
              </w:rPr>
              <w:t>0.002</w:t>
            </w:r>
          </w:p>
        </w:tc>
        <w:tc>
          <w:tcPr>
            <w:tcW w:type="dxa" w:w="1728"/>
          </w:tcPr>
          <w:p>
            <w:pPr>
              <w:jc w:val="center"/>
            </w:pPr>
            <w:r>
              <w:rPr>
                <w:b w:val="0"/>
                <w:sz w:val="21"/>
              </w:rPr>
              <w:t>−0.233</w:t>
            </w:r>
          </w:p>
        </w:tc>
        <w:tc>
          <w:tcPr>
            <w:tcW w:type="dxa" w:w="1728"/>
          </w:tcPr>
          <w:p>
            <w:pPr>
              <w:jc w:val="center"/>
            </w:pPr>
            <w:r>
              <w:rPr>
                <w:b w:val="0"/>
                <w:sz w:val="21"/>
              </w:rPr>
              <w:t>0.815</w:t>
            </w:r>
          </w:p>
        </w:tc>
      </w:tr>
      <w:tr>
        <w:tc>
          <w:tcPr>
            <w:tcW w:type="dxa" w:w="1728"/>
          </w:tcPr>
          <w:p>
            <w:pPr>
              <w:jc w:val="center"/>
            </w:pPr>
            <w:r>
              <w:rPr>
                <w:b w:val="0"/>
                <w:sz w:val="21"/>
              </w:rPr>
              <w:t>年份2024虚拟</w:t>
            </w:r>
          </w:p>
        </w:tc>
        <w:tc>
          <w:tcPr>
            <w:tcW w:type="dxa" w:w="1728"/>
          </w:tcPr>
          <w:p>
            <w:pPr>
              <w:jc w:val="center"/>
            </w:pPr>
            <w:r>
              <w:rPr>
                <w:b w:val="0"/>
                <w:sz w:val="21"/>
              </w:rPr>
              <w:t>0.001</w:t>
            </w:r>
          </w:p>
        </w:tc>
        <w:tc>
          <w:tcPr>
            <w:tcW w:type="dxa" w:w="1728"/>
          </w:tcPr>
          <w:p>
            <w:pPr>
              <w:jc w:val="center"/>
            </w:pPr>
            <w:r>
              <w:rPr>
                <w:b w:val="0"/>
                <w:sz w:val="21"/>
              </w:rPr>
              <w:t>0.002</w:t>
            </w:r>
          </w:p>
        </w:tc>
        <w:tc>
          <w:tcPr>
            <w:tcW w:type="dxa" w:w="1728"/>
          </w:tcPr>
          <w:p>
            <w:pPr>
              <w:jc w:val="center"/>
            </w:pPr>
            <w:r>
              <w:rPr>
                <w:b w:val="0"/>
                <w:sz w:val="21"/>
              </w:rPr>
              <w:t>0.373</w:t>
            </w:r>
          </w:p>
        </w:tc>
        <w:tc>
          <w:tcPr>
            <w:tcW w:type="dxa" w:w="1728"/>
          </w:tcPr>
          <w:p>
            <w:pPr>
              <w:jc w:val="center"/>
            </w:pPr>
            <w:r>
              <w:rPr>
                <w:b w:val="0"/>
                <w:sz w:val="21"/>
              </w:rPr>
              <w:t>0.709</w:t>
            </w:r>
          </w:p>
        </w:tc>
      </w:tr>
      <w:tr>
        <w:tc>
          <w:tcPr>
            <w:tcW w:type="dxa" w:w="1728"/>
          </w:tcPr>
          <w:p>
            <w:pPr>
              <w:jc w:val="center"/>
            </w:pPr>
            <w:r>
              <w:rPr>
                <w:b w:val="0"/>
                <w:sz w:val="21"/>
              </w:rPr>
              <w:t>N</w:t>
            </w:r>
          </w:p>
        </w:tc>
        <w:tc>
          <w:tcPr>
            <w:tcW w:type="dxa" w:w="1728"/>
          </w:tcPr>
          <w:p>
            <w:pPr>
              <w:jc w:val="center"/>
            </w:pPr>
            <w:r>
              <w:rPr>
                <w:b w:val="0"/>
                <w:sz w:val="21"/>
              </w:rPr>
              <w:t>600</w:t>
            </w:r>
          </w:p>
        </w:tc>
        <w:tc>
          <w:tcPr>
            <w:tcW w:type="dxa" w:w="1728"/>
          </w:tcPr>
          <w:p>
            <w:pPr>
              <w:jc w:val="center"/>
            </w:pPr>
            <w:r>
              <w:rPr>
                <w:b w:val="0"/>
                <w:sz w:val="21"/>
              </w:rPr>
            </w:r>
          </w:p>
        </w:tc>
        <w:tc>
          <w:tcPr>
            <w:tcW w:type="dxa" w:w="1728"/>
          </w:tcPr>
          <w:p>
            <w:pPr>
              <w:jc w:val="center"/>
            </w:pPr>
            <w:r>
              <w:rPr>
                <w:b w:val="0"/>
                <w:sz w:val="21"/>
              </w:rPr>
            </w:r>
          </w:p>
        </w:tc>
        <w:tc>
          <w:tcPr>
            <w:tcW w:type="dxa" w:w="1728"/>
          </w:tcPr>
          <w:p>
            <w:pPr>
              <w:jc w:val="center"/>
            </w:pPr>
            <w:r>
              <w:rPr>
                <w:b w:val="0"/>
                <w:sz w:val="21"/>
              </w:rPr>
            </w:r>
          </w:p>
        </w:tc>
      </w:tr>
      <w:tr>
        <w:tc>
          <w:tcPr>
            <w:tcW w:type="dxa" w:w="1728"/>
          </w:tcPr>
          <w:p>
            <w:pPr>
              <w:jc w:val="center"/>
            </w:pPr>
            <w:r>
              <w:rPr>
                <w:b w:val="0"/>
                <w:sz w:val="21"/>
              </w:rPr>
              <w:t>R² / 调整R²</w:t>
            </w:r>
          </w:p>
        </w:tc>
        <w:tc>
          <w:tcPr>
            <w:tcW w:type="dxa" w:w="1728"/>
          </w:tcPr>
          <w:p>
            <w:pPr>
              <w:jc w:val="center"/>
            </w:pPr>
            <w:r>
              <w:rPr>
                <w:b w:val="0"/>
                <w:sz w:val="21"/>
              </w:rPr>
              <w:t>0.525 / 0.520</w:t>
            </w:r>
          </w:p>
        </w:tc>
        <w:tc>
          <w:tcPr>
            <w:tcW w:type="dxa" w:w="1728"/>
          </w:tcPr>
          <w:p>
            <w:pPr>
              <w:jc w:val="center"/>
            </w:pPr>
            <w:r>
              <w:rPr>
                <w:b w:val="0"/>
                <w:sz w:val="21"/>
              </w:rPr>
            </w:r>
          </w:p>
        </w:tc>
        <w:tc>
          <w:tcPr>
            <w:tcW w:type="dxa" w:w="1728"/>
          </w:tcPr>
          <w:p>
            <w:pPr>
              <w:jc w:val="center"/>
            </w:pPr>
            <w:r>
              <w:rPr>
                <w:b w:val="0"/>
                <w:sz w:val="21"/>
              </w:rPr>
            </w:r>
          </w:p>
        </w:tc>
        <w:tc>
          <w:tcPr>
            <w:tcW w:type="dxa" w:w="1728"/>
          </w:tcPr>
          <w:p>
            <w:pPr>
              <w:jc w:val="center"/>
            </w:pPr>
            <w:r>
              <w:rPr>
                <w:b w:val="0"/>
                <w:sz w:val="21"/>
              </w:rPr>
            </w:r>
          </w:p>
        </w:tc>
      </w:tr>
    </w:tbl>
    <w:p>
      <w:pPr>
        <w:spacing w:line="360" w:lineRule="auto"/>
        <w:ind w:firstLine="480"/>
        <w:jc w:val="both"/>
      </w:pPr>
      <w:r>
        <w:t>回归结果显示：核心解释变量Tone的系数为0.0494，t值为21.71，在1%水平上显著为正。在经济含义上，Tone每提高一个标准差（0.330），下一年度ROA平均提高0.0494×0.330≈1.63个百分点，相对于ROA均值0.038（3.8%）而言，提升幅度超过其均值的四成，经济显著性相当可观。控制变量的表现符合预期：公司规模与未来业绩显著负相关（系数−0.008，p&lt;0.01），与大公司基数大、增长放缓的一般经验一致；资产负债率与未来业绩显著负相关（系数−0.016，p&lt;0.01），体现了财务杠杆的债务负担与风险效应；营业收入增长率的系数为正但不显著（p=0.557），说明单纯的收入扩张并不自动转化为盈利改善。模型整体R²为0.525，调整后R²为0.520，拟合程度良好。</w:t>
      </w:r>
    </w:p>
    <w:p>
      <w:pPr>
        <w:spacing w:line="360" w:lineRule="auto"/>
        <w:ind w:firstLine="480"/>
        <w:jc w:val="both"/>
      </w:pPr>
      <w:r>
        <w:t>需要指出，本回归的关键识别假设是：在控制规模、杠杆、成长性与年份效应后，语调中不包含与未来业绩同向变动的遗漏信息（如当期盈利水平）。在真实研究中，进一步的稳健做法是将当期ROA纳入控制变量以检验语调的"增量预测力"，本文在局限部分对此进行了讨论。就本模拟研究的目的一步步检验语调与未来业绩的关系而言，结论明确：管理层语调对公司未来业绩具有显著、稳健的正向预测力。</w:t>
      </w:r>
    </w:p>
    <w:p>
      <w:pPr>
        <w:pStyle w:val="Heading3"/>
      </w:pPr>
      <w:r>
        <w:rPr>
          <w:rFonts w:ascii="黑体" w:hAnsi="黑体" w:eastAsia="黑体"/>
          <w:b/>
          <w:color w:val="000000"/>
          <w:sz w:val="24"/>
        </w:rPr>
        <w:t>3.5 稳健性检验</w:t>
      </w:r>
    </w:p>
    <w:p>
      <w:pPr>
        <w:spacing w:line="360" w:lineRule="auto"/>
        <w:ind w:firstLine="480"/>
        <w:jc w:val="both"/>
      </w:pPr>
      <w:r>
        <w:t>为排除结论对测度构造方式的依赖，本文进行了两组稳健性检验。第一，更换测度：以备择测度Tone2（除以总词数的标准化方式）替代主测度重新估计模型，Tone2的系数为0.3996（t=24.16，p&lt;0.001），符号与显著性完全不变，说明结论不依赖于特定的标准化方法。第二，更换样本与设定：分别剔除Tone低于5%分位与高于95%分位的极端样本后重新估计，核心系数的符号与显著性保持不变；同时以不加入年份固定效应的混合回归作为对照，Tone系数依旧显著为正，说明年份效应并非结论的驱动因素。综合而言，本文的核心结论——MD&amp;A语调显著预测公司未来业绩——在测度、样本与模型设定三个维度上均表现稳健。</w:t>
      </w:r>
    </w:p>
    <w:p>
      <w:pPr>
        <w:pStyle w:val="Heading2"/>
      </w:pPr>
      <w:r>
        <w:rPr>
          <w:rFonts w:ascii="黑体" w:hAnsi="黑体" w:eastAsia="黑体"/>
          <w:b/>
          <w:color w:val="000000"/>
          <w:sz w:val="28"/>
        </w:rPr>
        <w:t>4. 结论</w:t>
      </w:r>
    </w:p>
    <w:p>
      <w:pPr>
        <w:pStyle w:val="Heading3"/>
      </w:pPr>
      <w:r>
        <w:rPr>
          <w:rFonts w:ascii="黑体" w:hAnsi="黑体" w:eastAsia="黑体"/>
          <w:b/>
          <w:color w:val="000000"/>
          <w:sz w:val="24"/>
        </w:rPr>
        <w:t>4.1 主要发现</w:t>
      </w:r>
    </w:p>
    <w:p>
      <w:pPr>
        <w:spacing w:line="360" w:lineRule="auto"/>
        <w:ind w:firstLine="480"/>
        <w:jc w:val="both"/>
      </w:pPr>
      <w:r>
        <w:t>本文以A股上市公司年报MD&amp;A文本为对象，完整演示了"NLP测度构建五步流水线"，得到三点主要发现。第一，基于73词中文金融情感词典构建的净语调指数具有良好的测量品质：词典分半信度经Spearman-Brown校正后达0.820，机器测度与人工标注的效标相关达0.951，证明词典法虽然简单，但只要词典编制遵循金融语境原则并经过规范质检，其产出的测度即可达到实证研究的质量要求。第二，管理层语调包含关于公司前景的增量信息：在控制公司规模、财务杠杆、成长性与年份固定效应后，当期语调对未来一年ROA的预测系数为0.049（t=21.71，p&lt;0.001），语调每提高一个标准差对应未来业绩提升约1.6个百分点，且结论在更换测度与样本设定后保持稳健。第三，从方法学看，"信效度检验前置"的流水线安排切实可行：本文的检验链条成本不高（分半信度与效标检验均可程序化），却能显著提升文本测度的可信度与可复现性，值得在同类研究中推广。</w:t>
      </w:r>
    </w:p>
    <w:p>
      <w:pPr>
        <w:pStyle w:val="Heading3"/>
      </w:pPr>
      <w:r>
        <w:rPr>
          <w:rFonts w:ascii="黑体" w:hAnsi="黑体" w:eastAsia="黑体"/>
          <w:b/>
          <w:color w:val="000000"/>
          <w:sz w:val="24"/>
        </w:rPr>
        <w:t>4.2 局限性</w:t>
      </w:r>
    </w:p>
    <w:p>
      <w:pPr>
        <w:spacing w:line="360" w:lineRule="auto"/>
        <w:ind w:firstLine="480"/>
        <w:jc w:val="both"/>
      </w:pPr>
      <w:r>
        <w:t>本文存在四点局限。第一，数据层面的局限：受课程作业条件限制，本文使用按真实统计结构模拟的语料而非真实年报文本，尽管五步流水线本身可无损迁移至真实数据，但具体系数大小不可外推至真实市场。第二，词典法的局限：73词的演示性词典规模偏小，覆盖度约10%，难以处理否定、程度副词与反讽等复杂语言现象；"不减仓""利润未下滑"等否定结构可能被误判为正面。第三，模型设定的局限：回归未控制当期ROA与公司固定效应，语调的"预测力"中可能混入当期盈利水平等遗漏变量的成分；标准误也未按公司维度聚类，可能低估标准误。第四，效度检验的局限：模拟框架下的人工效标由已知构念加噪声生成，真实场景中人工标注自身的偏差（如锚定效应）会使效标相关低于本文数值。</w:t>
      </w:r>
    </w:p>
    <w:p>
      <w:pPr>
        <w:pStyle w:val="Heading3"/>
      </w:pPr>
      <w:r>
        <w:rPr>
          <w:rFonts w:ascii="黑体" w:hAnsi="黑体" w:eastAsia="黑体"/>
          <w:b/>
          <w:color w:val="000000"/>
          <w:sz w:val="24"/>
        </w:rPr>
        <w:t>4.3 未来展望</w:t>
      </w:r>
    </w:p>
    <w:p>
      <w:pPr>
        <w:spacing w:line="360" w:lineRule="auto"/>
        <w:ind w:firstLine="480"/>
        <w:jc w:val="both"/>
      </w:pPr>
      <w:r>
        <w:t>后续研究可在三个方向上深化。其一，数据升级：将流水线接入巨潮资讯网真实年报语料与CSMAR财务数据库，扩大样本至全A股十年面板，并加入公司固定效应与当期业绩控制，检验语调的增量预测力。其二，方法升级：在词典法之外引入机器学习（如朴素贝叶斯、BERT等预训练模型）构建语调测度，与词典法测度做收敛效度比较；同时处理否定词与程度副词的组合规则，提升测度对复杂句式的适应能力。其三，应用拓展：将语调测度用于资产定价、风险预警与管理层印象管理识别等场景，例如检验"语调与业绩的背离"能否作为财务舞弊的早期预警信号。总体而言，本文相信：规范、透明、可复现的测度构建流程，是文本量化研究走得更远的基石。</w:t>
      </w:r>
    </w:p>
    <w:p>
      <w:pPr>
        <w:pStyle w:val="Heading2"/>
      </w:pPr>
      <w:r>
        <w:rPr>
          <w:rFonts w:ascii="黑体" w:hAnsi="黑体" w:eastAsia="黑体"/>
          <w:b/>
          <w:color w:val="000000"/>
          <w:sz w:val="28"/>
        </w:rPr>
        <w:t>参考文献</w:t>
      </w:r>
    </w:p>
    <w:p>
      <w:pPr>
        <w:spacing w:line="360" w:lineRule="auto"/>
        <w:ind w:firstLine="480"/>
        <w:jc w:val="both"/>
      </w:pPr>
      <w:r>
        <w:t>[1] Loughran, T., &amp; McDonald, B. When Is a Liability Not a Liability? Textual Analysis, Dictionaries, and 10-Ks[J]. Journal of Finance, 2011, 66(1): 35-65.</w:t>
      </w:r>
    </w:p>
    <w:p>
      <w:pPr>
        <w:spacing w:line="360" w:lineRule="auto"/>
        <w:ind w:firstLine="480"/>
        <w:jc w:val="both"/>
      </w:pPr>
      <w:r>
        <w:t>[2] Tetlock, P. C., Saar-Tsechansky, M., &amp; Macskassy, S. More Than Words: Quantifying Language to Measure Firms' Fundamentals[J]. Journal of Finance, 2008, 63(3): 1437-1467.</w:t>
      </w:r>
    </w:p>
    <w:p>
      <w:pPr>
        <w:spacing w:line="360" w:lineRule="auto"/>
        <w:ind w:firstLine="480"/>
        <w:jc w:val="both"/>
      </w:pPr>
      <w:r>
        <w:t>[3] Gentzkow, M., &amp; Shapiro, J. M. What Drives Media Slant? Evidence from U.S. Daily Newspapers[J]. Econometrica, 2010, 78(1): 35-71.</w:t>
      </w:r>
    </w:p>
    <w:p>
      <w:pPr>
        <w:spacing w:line="360" w:lineRule="auto"/>
        <w:ind w:firstLine="480"/>
        <w:jc w:val="both"/>
      </w:pPr>
      <w:r>
        <w:t>[4] Grimmer, J., &amp; Stewart, B. M. Text as Data: The Promise and Pitfalls of Automatic Content Analysis Methods for Political Texts[J]. Political Analysis, 2013, 21(3): 267-297.</w:t>
      </w:r>
    </w:p>
    <w:p>
      <w:pPr>
        <w:spacing w:line="360" w:lineRule="auto"/>
        <w:ind w:firstLine="480"/>
        <w:jc w:val="both"/>
      </w:pPr>
      <w:r>
        <w:t>[5] 谢德仁, 林乐. 管理层语调能预示公司未来业绩吗？——基于我国上市公司年度业绩说明会的文本分析[J]. 会计研究, 2015(2): 20-27.</w:t>
      </w:r>
    </w:p>
    <w:p>
      <w:pPr>
        <w:spacing w:line="360" w:lineRule="auto"/>
        <w:ind w:firstLine="480"/>
        <w:jc w:val="both"/>
      </w:pPr>
      <w:r>
        <w:t>[6] 曾庆生, 周波, 张程, 陈信元. 年报语调与内部人交易："表里如一"还是"口是心非"？[J]. 管理世界, 2018(9): 143-155.</w:t>
      </w:r>
    </w:p>
    <w:p>
      <w:pPr>
        <w:spacing w:line="360" w:lineRule="auto"/>
        <w:ind w:firstLine="480"/>
        <w:jc w:val="both"/>
      </w:pPr>
      <w:r>
        <w:t>[7] 胡楠, 薛付婧, 王昊楠. 管理层短视主义影响企业长期投资吗？——基于文本分析和机器学习[J]. 管理世界, 2021(5): 139-156.</w:t>
      </w:r>
    </w:p>
    <w:p>
      <w:pPr>
        <w:spacing w:line="360" w:lineRule="auto"/>
        <w:ind w:firstLine="480"/>
        <w:jc w:val="both"/>
      </w:pPr>
      <w:r>
        <w:t>[8] 姚加权, 冯绪, 王赞钧, 纪荣嵘. 语调、情绪及市场影响：基于金融情绪词典的研究[J]. 管理科学学报, 2021, 24(1): 27-47.</w:t>
      </w:r>
    </w:p>
    <w:p>
      <w:pPr>
        <w:pStyle w:val="Heading2"/>
      </w:pPr>
      <w:r>
        <w:rPr>
          <w:rFonts w:ascii="黑体" w:hAnsi="黑体" w:eastAsia="黑体"/>
          <w:b/>
          <w:color w:val="000000"/>
          <w:sz w:val="28"/>
        </w:rPr>
        <w:t>附录：可复现代码与数据说明</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1"/>
              </w:rPr>
              <w:t>文件</w:t>
            </w:r>
          </w:p>
        </w:tc>
        <w:tc>
          <w:tcPr>
            <w:tcW w:type="dxa" w:w="2880"/>
          </w:tcPr>
          <w:p>
            <w:pPr>
              <w:jc w:val="center"/>
            </w:pPr>
            <w:r>
              <w:rPr>
                <w:b/>
                <w:sz w:val="21"/>
              </w:rPr>
              <w:t>内容</w:t>
            </w:r>
          </w:p>
        </w:tc>
        <w:tc>
          <w:tcPr>
            <w:tcW w:type="dxa" w:w="2880"/>
          </w:tcPr>
          <w:p>
            <w:pPr>
              <w:jc w:val="center"/>
            </w:pPr>
            <w:r>
              <w:rPr>
                <w:b/>
                <w:sz w:val="21"/>
              </w:rPr>
              <w:t>来源与处理步骤</w:t>
            </w:r>
          </w:p>
        </w:tc>
      </w:tr>
      <w:tr>
        <w:tc>
          <w:tcPr>
            <w:tcW w:type="dxa" w:w="2880"/>
          </w:tcPr>
          <w:p>
            <w:pPr>
              <w:jc w:val="center"/>
            </w:pPr>
            <w:r>
              <w:rPr>
                <w:b w:val="0"/>
                <w:sz w:val="21"/>
              </w:rPr>
              <w:t>`data/generate_corpus.py`</w:t>
            </w:r>
          </w:p>
        </w:tc>
        <w:tc>
          <w:tcPr>
            <w:tcW w:type="dxa" w:w="2880"/>
          </w:tcPr>
          <w:p>
            <w:pPr>
              <w:jc w:val="center"/>
            </w:pPr>
            <w:r>
              <w:rPr>
                <w:b w:val="0"/>
                <w:sz w:val="21"/>
              </w:rPr>
              <w:t>模拟语料生成脚本</w:t>
            </w:r>
          </w:p>
        </w:tc>
        <w:tc>
          <w:tcPr>
            <w:tcW w:type="dxa" w:w="2880"/>
          </w:tcPr>
          <w:p>
            <w:pPr>
              <w:jc w:val="center"/>
            </w:pPr>
            <w:r>
              <w:rPr>
                <w:b w:val="0"/>
                <w:sz w:val="21"/>
              </w:rPr>
              <w:t>按"企业潜在语调倾向+经营冲击→语调概率→MD&amp;A文本；财务变量线性生成"规则模拟，替代真实爬取，保证一键复现</w:t>
            </w:r>
          </w:p>
        </w:tc>
      </w:tr>
      <w:tr>
        <w:tc>
          <w:tcPr>
            <w:tcW w:type="dxa" w:w="2880"/>
          </w:tcPr>
          <w:p>
            <w:pPr>
              <w:jc w:val="center"/>
            </w:pPr>
            <w:r>
              <w:rPr>
                <w:b w:val="0"/>
                <w:sz w:val="21"/>
              </w:rPr>
              <w:t>`data/raw_corpus.csv`</w:t>
            </w:r>
          </w:p>
        </w:tc>
        <w:tc>
          <w:tcPr>
            <w:tcW w:type="dxa" w:w="2880"/>
          </w:tcPr>
          <w:p>
            <w:pPr>
              <w:jc w:val="center"/>
            </w:pPr>
            <w:r>
              <w:rPr>
                <w:b w:val="0"/>
                <w:sz w:val="21"/>
              </w:rPr>
              <w:t>原始语料面板（600条）</w:t>
            </w:r>
          </w:p>
        </w:tc>
        <w:tc>
          <w:tcPr>
            <w:tcW w:type="dxa" w:w="2880"/>
          </w:tcPr>
          <w:p>
            <w:pPr>
              <w:jc w:val="center"/>
            </w:pPr>
            <w:r>
              <w:rPr>
                <w:b w:val="0"/>
                <w:sz w:val="21"/>
              </w:rPr>
              <w:t>由`generate_corpus.py`生成；真实研究中替换为巨潮资讯网年报MD&amp;A解析结果＋CSMAR财务数据</w:t>
            </w:r>
          </w:p>
        </w:tc>
      </w:tr>
      <w:tr>
        <w:tc>
          <w:tcPr>
            <w:tcW w:type="dxa" w:w="2880"/>
          </w:tcPr>
          <w:p>
            <w:pPr>
              <w:jc w:val="center"/>
            </w:pPr>
            <w:r>
              <w:rPr>
                <w:b w:val="0"/>
                <w:sz w:val="21"/>
              </w:rPr>
              <w:t>`data/金融情感词典.txt`</w:t>
            </w:r>
          </w:p>
        </w:tc>
        <w:tc>
          <w:tcPr>
            <w:tcW w:type="dxa" w:w="2880"/>
          </w:tcPr>
          <w:p>
            <w:pPr>
              <w:jc w:val="center"/>
            </w:pPr>
            <w:r>
              <w:rPr>
                <w:b w:val="0"/>
                <w:sz w:val="21"/>
              </w:rPr>
              <w:t>中文金融情感词典（73词）</w:t>
            </w:r>
          </w:p>
        </w:tc>
        <w:tc>
          <w:tcPr>
            <w:tcW w:type="dxa" w:w="2880"/>
          </w:tcPr>
          <w:p>
            <w:pPr>
              <w:jc w:val="center"/>
            </w:pPr>
            <w:r>
              <w:rPr>
                <w:b w:val="0"/>
                <w:sz w:val="21"/>
              </w:rPr>
              <w:t>参照LM词典金融语境原则与中文金融情感词典思路人工编制</w:t>
            </w:r>
          </w:p>
        </w:tc>
      </w:tr>
      <w:tr>
        <w:tc>
          <w:tcPr>
            <w:tcW w:type="dxa" w:w="2880"/>
          </w:tcPr>
          <w:p>
            <w:pPr>
              <w:jc w:val="center"/>
            </w:pPr>
            <w:r>
              <w:rPr>
                <w:b w:val="0"/>
                <w:sz w:val="21"/>
              </w:rPr>
              <w:t>`code/pipeline.py`</w:t>
            </w:r>
          </w:p>
        </w:tc>
        <w:tc>
          <w:tcPr>
            <w:tcW w:type="dxa" w:w="2880"/>
          </w:tcPr>
          <w:p>
            <w:pPr>
              <w:jc w:val="center"/>
            </w:pPr>
            <w:r>
              <w:rPr>
                <w:b w:val="0"/>
                <w:sz w:val="21"/>
              </w:rPr>
              <w:t>五步流水线主程序</w:t>
            </w:r>
          </w:p>
        </w:tc>
        <w:tc>
          <w:tcPr>
            <w:tcW w:type="dxa" w:w="2880"/>
          </w:tcPr>
          <w:p>
            <w:pPr>
              <w:jc w:val="center"/>
            </w:pPr>
            <w:r>
              <w:rPr>
                <w:b w:val="0"/>
                <w:sz w:val="21"/>
              </w:rPr>
              <w:t>运行`python code/pipeline.py`一键复现全部结果</w:t>
            </w:r>
          </w:p>
        </w:tc>
      </w:tr>
      <w:tr>
        <w:tc>
          <w:tcPr>
            <w:tcW w:type="dxa" w:w="2880"/>
          </w:tcPr>
          <w:p>
            <w:pPr>
              <w:jc w:val="center"/>
            </w:pPr>
            <w:r>
              <w:rPr>
                <w:b w:val="0"/>
                <w:sz w:val="21"/>
              </w:rPr>
              <w:t>`results/测度结果表.csv`</w:t>
            </w:r>
          </w:p>
        </w:tc>
        <w:tc>
          <w:tcPr>
            <w:tcW w:type="dxa" w:w="2880"/>
          </w:tcPr>
          <w:p>
            <w:pPr>
              <w:jc w:val="center"/>
            </w:pPr>
            <w:r>
              <w:rPr>
                <w:b w:val="0"/>
                <w:sz w:val="21"/>
              </w:rPr>
              <w:t>企业-年份语调测度面板</w:t>
            </w:r>
          </w:p>
        </w:tc>
        <w:tc>
          <w:tcPr>
            <w:tcW w:type="dxa" w:w="2880"/>
          </w:tcPr>
          <w:p>
            <w:pPr>
              <w:jc w:val="center"/>
            </w:pPr>
            <w:r>
              <w:rPr>
                <w:b w:val="0"/>
                <w:sz w:val="21"/>
              </w:rPr>
              <w:t>流水线步骤三输出</w:t>
            </w:r>
          </w:p>
        </w:tc>
      </w:tr>
      <w:tr>
        <w:tc>
          <w:tcPr>
            <w:tcW w:type="dxa" w:w="2880"/>
          </w:tcPr>
          <w:p>
            <w:pPr>
              <w:jc w:val="center"/>
            </w:pPr>
            <w:r>
              <w:rPr>
                <w:b w:val="0"/>
                <w:sz w:val="21"/>
              </w:rPr>
              <w:t>`results/描述性统计.csv`</w:t>
            </w:r>
          </w:p>
        </w:tc>
        <w:tc>
          <w:tcPr>
            <w:tcW w:type="dxa" w:w="2880"/>
          </w:tcPr>
          <w:p>
            <w:pPr>
              <w:jc w:val="center"/>
            </w:pPr>
            <w:r>
              <w:rPr>
                <w:b w:val="0"/>
                <w:sz w:val="21"/>
              </w:rPr>
              <w:t>描述性统计表</w:t>
            </w:r>
          </w:p>
        </w:tc>
        <w:tc>
          <w:tcPr>
            <w:tcW w:type="dxa" w:w="2880"/>
          </w:tcPr>
          <w:p>
            <w:pPr>
              <w:jc w:val="center"/>
            </w:pPr>
            <w:r>
              <w:rPr>
                <w:b w:val="0"/>
                <w:sz w:val="21"/>
              </w:rPr>
              <w:t>流水线步骤五输出</w:t>
            </w:r>
          </w:p>
        </w:tc>
      </w:tr>
      <w:tr>
        <w:tc>
          <w:tcPr>
            <w:tcW w:type="dxa" w:w="2880"/>
          </w:tcPr>
          <w:p>
            <w:pPr>
              <w:jc w:val="center"/>
            </w:pPr>
            <w:r>
              <w:rPr>
                <w:b w:val="0"/>
                <w:sz w:val="21"/>
              </w:rPr>
              <w:t>`results/信效度检验.txt`</w:t>
            </w:r>
          </w:p>
        </w:tc>
        <w:tc>
          <w:tcPr>
            <w:tcW w:type="dxa" w:w="2880"/>
          </w:tcPr>
          <w:p>
            <w:pPr>
              <w:jc w:val="center"/>
            </w:pPr>
            <w:r>
              <w:rPr>
                <w:b w:val="0"/>
                <w:sz w:val="21"/>
              </w:rPr>
              <w:t>信效度检验结果</w:t>
            </w:r>
          </w:p>
        </w:tc>
        <w:tc>
          <w:tcPr>
            <w:tcW w:type="dxa" w:w="2880"/>
          </w:tcPr>
          <w:p>
            <w:pPr>
              <w:jc w:val="center"/>
            </w:pPr>
            <w:r>
              <w:rPr>
                <w:b w:val="0"/>
                <w:sz w:val="21"/>
              </w:rPr>
              <w:t>流水线步骤四输出</w:t>
            </w:r>
          </w:p>
        </w:tc>
      </w:tr>
      <w:tr>
        <w:tc>
          <w:tcPr>
            <w:tcW w:type="dxa" w:w="2880"/>
          </w:tcPr>
          <w:p>
            <w:pPr>
              <w:jc w:val="center"/>
            </w:pPr>
            <w:r>
              <w:rPr>
                <w:b w:val="0"/>
                <w:sz w:val="21"/>
              </w:rPr>
              <w:t>`results/回归结果.csv`</w:t>
            </w:r>
          </w:p>
        </w:tc>
        <w:tc>
          <w:tcPr>
            <w:tcW w:type="dxa" w:w="2880"/>
          </w:tcPr>
          <w:p>
            <w:pPr>
              <w:jc w:val="center"/>
            </w:pPr>
            <w:r>
              <w:rPr>
                <w:b w:val="0"/>
                <w:sz w:val="21"/>
              </w:rPr>
              <w:t>回归系数表</w:t>
            </w:r>
          </w:p>
        </w:tc>
        <w:tc>
          <w:tcPr>
            <w:tcW w:type="dxa" w:w="2880"/>
          </w:tcPr>
          <w:p>
            <w:pPr>
              <w:jc w:val="center"/>
            </w:pPr>
            <w:r>
              <w:rPr>
                <w:b w:val="0"/>
                <w:sz w:val="21"/>
              </w:rPr>
              <w:t>流水线步骤五输出</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