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5BF9" w14:textId="77777777" w:rsidR="00BE234E" w:rsidRDefault="00000000">
      <w:pPr>
        <w:spacing w:after="100"/>
      </w:pPr>
      <w:r>
        <w:rPr>
          <w:b/>
          <w:bCs/>
          <w:color w:val="1B2A4A"/>
          <w:sz w:val="40"/>
          <w:szCs w:val="40"/>
        </w:rPr>
        <w:t>CRE Deal Analyzer — Product Roadmap</w:t>
      </w:r>
    </w:p>
    <w:p w14:paraId="78564F52" w14:textId="77777777" w:rsidR="00BE234E" w:rsidRDefault="00000000">
      <w:pPr>
        <w:spacing w:after="60"/>
      </w:pPr>
      <w:proofErr w:type="gramStart"/>
      <w:r>
        <w:rPr>
          <w:color w:val="888888"/>
          <w:sz w:val="20"/>
          <w:szCs w:val="20"/>
        </w:rPr>
        <w:t>RealEstate-Analytics.ai  |</w:t>
      </w:r>
      <w:proofErr w:type="gramEnd"/>
      <w:r>
        <w:rPr>
          <w:color w:val="888888"/>
          <w:sz w:val="20"/>
          <w:szCs w:val="20"/>
        </w:rPr>
        <w:t xml:space="preserve">  Masoud </w:t>
      </w:r>
      <w:proofErr w:type="gramStart"/>
      <w:r>
        <w:rPr>
          <w:color w:val="888888"/>
          <w:sz w:val="20"/>
          <w:szCs w:val="20"/>
        </w:rPr>
        <w:t>Arouni  |</w:t>
      </w:r>
      <w:proofErr w:type="gramEnd"/>
      <w:r>
        <w:rPr>
          <w:color w:val="888888"/>
          <w:sz w:val="20"/>
          <w:szCs w:val="20"/>
        </w:rPr>
        <w:t xml:space="preserve">  May 2026</w:t>
      </w:r>
    </w:p>
    <w:p w14:paraId="222E0456" w14:textId="77777777" w:rsidR="00BE234E" w:rsidRDefault="00BE234E">
      <w:pPr>
        <w:pBdr>
          <w:bottom w:val="single" w:sz="6" w:space="1" w:color="C9A84C"/>
        </w:pBdr>
        <w:spacing w:before="200" w:after="200"/>
      </w:pPr>
    </w:p>
    <w:p w14:paraId="5A692158" w14:textId="77777777" w:rsidR="00BE234E" w:rsidRDefault="00000000">
      <w:pPr>
        <w:pStyle w:val="Heading1"/>
      </w:pPr>
      <w:r>
        <w:t>Part 1: Feature Enhancements for Net Lease &amp; CRE Brokers</w:t>
      </w:r>
    </w:p>
    <w:p w14:paraId="0E311F76" w14:textId="77777777" w:rsidR="00BE234E" w:rsidRDefault="00000000">
      <w:pPr>
        <w:spacing w:before="60" w:after="60"/>
      </w:pPr>
      <w:r>
        <w:t>The following five enhancements are directly relevant to net lease retail brokers (e.g. Matthews Real Estate) and their investor clients. Each item is ranked by accuracy, dev effort, and workflow impact.</w:t>
      </w:r>
    </w:p>
    <w:p w14:paraId="0D90BA54" w14:textId="77777777" w:rsidR="00BE234E" w:rsidRDefault="00BE234E">
      <w:pPr>
        <w:spacing w:before="100" w:after="100"/>
      </w:pPr>
    </w:p>
    <w:p w14:paraId="0448CE6F" w14:textId="77777777" w:rsidR="00BE234E" w:rsidRDefault="00000000">
      <w:pPr>
        <w:spacing w:before="200" w:after="100"/>
      </w:pPr>
      <w:r>
        <w:rPr>
          <w:b/>
          <w:bCs/>
          <w:color w:val="1B2A4A"/>
          <w:sz w:val="24"/>
          <w:szCs w:val="24"/>
        </w:rPr>
        <w:t>1.  Broker Fee Modeling</w:t>
      </w:r>
    </w:p>
    <w:p w14:paraId="7824285A" w14:textId="77777777" w:rsidR="00BE234E" w:rsidRDefault="00000000">
      <w:pPr>
        <w:spacing w:before="160" w:after="60"/>
      </w:pPr>
      <w:r>
        <w:rPr>
          <w:b/>
          <w:bCs/>
          <w:color w:val="2E7D32"/>
        </w:rPr>
        <w:t xml:space="preserve">Accuracy: Very </w:t>
      </w:r>
      <w:proofErr w:type="gramStart"/>
      <w:r>
        <w:rPr>
          <w:b/>
          <w:bCs/>
          <w:color w:val="2E7D32"/>
        </w:rPr>
        <w:t>High  |</w:t>
      </w:r>
      <w:proofErr w:type="gramEnd"/>
      <w:r>
        <w:rPr>
          <w:b/>
          <w:bCs/>
          <w:color w:val="2E7D32"/>
        </w:rPr>
        <w:t xml:space="preserve">  Dev Effort: 2–4 hours</w:t>
      </w:r>
    </w:p>
    <w:p w14:paraId="1E2CEF19" w14:textId="77777777" w:rsidR="00BE234E" w:rsidRDefault="00000000">
      <w:pPr>
        <w:spacing w:before="60" w:after="60"/>
      </w:pPr>
      <w:r>
        <w:t>Net lease buyers consistently ask: “what’s my net yield after fees?” A single broker commission input (typically 2–3% buyer side) that flows into IRR and cash-on-cash calculations. One new input field on the left panel. High impact, minimal dev.</w:t>
      </w:r>
    </w:p>
    <w:p w14:paraId="3CDD42DC" w14:textId="77777777" w:rsidR="00BE234E" w:rsidRDefault="00BE234E">
      <w:pPr>
        <w:spacing w:before="100" w:after="100"/>
      </w:pPr>
    </w:p>
    <w:p w14:paraId="0F5AD548" w14:textId="77777777" w:rsidR="00BE234E" w:rsidRDefault="00000000">
      <w:pPr>
        <w:spacing w:before="200" w:after="100"/>
      </w:pPr>
      <w:r>
        <w:rPr>
          <w:b/>
          <w:bCs/>
          <w:color w:val="1B2A4A"/>
          <w:sz w:val="24"/>
          <w:szCs w:val="24"/>
        </w:rPr>
        <w:t>2.  NNN Lease Structure / Expense Passthrough Toggle</w:t>
      </w:r>
    </w:p>
    <w:p w14:paraId="2AB4D917" w14:textId="77777777" w:rsidR="00BE234E" w:rsidRDefault="00000000">
      <w:pPr>
        <w:spacing w:before="160" w:after="60"/>
      </w:pPr>
      <w:r>
        <w:rPr>
          <w:b/>
          <w:bCs/>
          <w:color w:val="2E7D32"/>
        </w:rPr>
        <w:t xml:space="preserve">Accuracy: </w:t>
      </w:r>
      <w:proofErr w:type="gramStart"/>
      <w:r>
        <w:rPr>
          <w:b/>
          <w:bCs/>
          <w:color w:val="2E7D32"/>
        </w:rPr>
        <w:t>High  |</w:t>
      </w:r>
      <w:proofErr w:type="gramEnd"/>
      <w:r>
        <w:rPr>
          <w:b/>
          <w:bCs/>
          <w:color w:val="2E7D32"/>
        </w:rPr>
        <w:t xml:space="preserve">  Dev Effort: 1–2 days</w:t>
      </w:r>
    </w:p>
    <w:p w14:paraId="76F90817" w14:textId="77777777" w:rsidR="00BE234E" w:rsidRDefault="00000000">
      <w:pPr>
        <w:spacing w:before="60" w:after="60"/>
      </w:pPr>
      <w:r>
        <w:t xml:space="preserve">NNN leases mean the tenant pays taxes, insurance, and maintenance — so the </w:t>
      </w:r>
      <w:proofErr w:type="spellStart"/>
      <w:r>
        <w:t>OpEx</w:t>
      </w:r>
      <w:proofErr w:type="spellEnd"/>
      <w:r>
        <w:t xml:space="preserve"> input logic changes fundamentally. A lease type dropdown (Gross / Modified Gross / NNN) that zeros out or reduces </w:t>
      </w:r>
      <w:proofErr w:type="spellStart"/>
      <w:r>
        <w:t>OpEx</w:t>
      </w:r>
      <w:proofErr w:type="spellEnd"/>
      <w:r>
        <w:t xml:space="preserve"> accordingly. More involved than a single field but critical for Andy’s Starbucks, Walgreens, Dollar General deals.</w:t>
      </w:r>
    </w:p>
    <w:p w14:paraId="4AB85829" w14:textId="77777777" w:rsidR="00BE234E" w:rsidRDefault="00BE234E">
      <w:pPr>
        <w:spacing w:before="100" w:after="100"/>
      </w:pPr>
    </w:p>
    <w:p w14:paraId="1D1AF5D6" w14:textId="77777777" w:rsidR="00BE234E" w:rsidRDefault="00000000">
      <w:pPr>
        <w:spacing w:before="200" w:after="100"/>
      </w:pPr>
      <w:r>
        <w:rPr>
          <w:b/>
          <w:bCs/>
          <w:color w:val="1B2A4A"/>
          <w:sz w:val="24"/>
          <w:szCs w:val="24"/>
        </w:rPr>
        <w:t>3.  Rent Bump / Escalation Schedule</w:t>
      </w:r>
    </w:p>
    <w:p w14:paraId="2E55DD86" w14:textId="77777777" w:rsidR="00BE234E" w:rsidRDefault="00000000">
      <w:pPr>
        <w:spacing w:before="160" w:after="60"/>
      </w:pPr>
      <w:r>
        <w:rPr>
          <w:b/>
          <w:bCs/>
          <w:color w:val="2E7D32"/>
        </w:rPr>
        <w:t xml:space="preserve">Accuracy: </w:t>
      </w:r>
      <w:proofErr w:type="gramStart"/>
      <w:r>
        <w:rPr>
          <w:b/>
          <w:bCs/>
          <w:color w:val="2E7D32"/>
        </w:rPr>
        <w:t>High  |</w:t>
      </w:r>
      <w:proofErr w:type="gramEnd"/>
      <w:r>
        <w:rPr>
          <w:b/>
          <w:bCs/>
          <w:color w:val="2E7D32"/>
        </w:rPr>
        <w:t xml:space="preserve">  Dev Effort: 4–6 hours</w:t>
      </w:r>
    </w:p>
    <w:p w14:paraId="2F201BCC" w14:textId="77777777" w:rsidR="00BE234E" w:rsidRDefault="00000000">
      <w:pPr>
        <w:spacing w:before="60" w:after="60"/>
      </w:pPr>
      <w:r>
        <w:t>Net lease deals have fixed rent bumps built into the lease — typically 10% every 5 years for national tenants. The multi-year projection engine already exists. Adding a bump % and bump interval input is a clean, contained addition that makes the projection far more accurate for this asset class.</w:t>
      </w:r>
    </w:p>
    <w:p w14:paraId="7DD72AD6" w14:textId="77777777" w:rsidR="00BE234E" w:rsidRDefault="00BE234E">
      <w:pPr>
        <w:spacing w:before="100" w:after="100"/>
      </w:pPr>
    </w:p>
    <w:p w14:paraId="429349C1" w14:textId="77777777" w:rsidR="00BE234E" w:rsidRDefault="00000000">
      <w:pPr>
        <w:spacing w:before="200" w:after="100"/>
      </w:pPr>
      <w:r>
        <w:rPr>
          <w:b/>
          <w:bCs/>
          <w:color w:val="1B2A4A"/>
          <w:sz w:val="24"/>
          <w:szCs w:val="24"/>
        </w:rPr>
        <w:t xml:space="preserve">4.  Cap Rate Comps by Submarket (via </w:t>
      </w:r>
      <w:proofErr w:type="spellStart"/>
      <w:r>
        <w:rPr>
          <w:b/>
          <w:bCs/>
          <w:color w:val="1B2A4A"/>
          <w:sz w:val="24"/>
          <w:szCs w:val="24"/>
        </w:rPr>
        <w:t>SerpAPI</w:t>
      </w:r>
      <w:proofErr w:type="spellEnd"/>
      <w:r>
        <w:rPr>
          <w:b/>
          <w:bCs/>
          <w:color w:val="1B2A4A"/>
          <w:sz w:val="24"/>
          <w:szCs w:val="24"/>
        </w:rPr>
        <w:t>)</w:t>
      </w:r>
    </w:p>
    <w:p w14:paraId="27814E40" w14:textId="77777777" w:rsidR="00BE234E" w:rsidRDefault="00000000">
      <w:pPr>
        <w:spacing w:before="160" w:after="60"/>
      </w:pPr>
      <w:r>
        <w:rPr>
          <w:b/>
          <w:bCs/>
          <w:color w:val="C0392B"/>
        </w:rPr>
        <w:t xml:space="preserve">Accuracy: </w:t>
      </w:r>
      <w:proofErr w:type="gramStart"/>
      <w:r>
        <w:rPr>
          <w:b/>
          <w:bCs/>
          <w:color w:val="C0392B"/>
        </w:rPr>
        <w:t>Medium  |</w:t>
      </w:r>
      <w:proofErr w:type="gramEnd"/>
      <w:r>
        <w:rPr>
          <w:b/>
          <w:bCs/>
          <w:color w:val="C0392B"/>
        </w:rPr>
        <w:t xml:space="preserve">  Dev Effort: 1 </w:t>
      </w:r>
      <w:proofErr w:type="gramStart"/>
      <w:r>
        <w:rPr>
          <w:b/>
          <w:bCs/>
          <w:color w:val="C0392B"/>
        </w:rPr>
        <w:t>day  |</w:t>
      </w:r>
      <w:proofErr w:type="gramEnd"/>
      <w:r>
        <w:rPr>
          <w:b/>
          <w:bCs/>
          <w:color w:val="C0392B"/>
        </w:rPr>
        <w:t xml:space="preserve">  ⚠️ Reliability Caveat</w:t>
      </w:r>
    </w:p>
    <w:p w14:paraId="26A3BEA0" w14:textId="77777777" w:rsidR="00BE234E" w:rsidRDefault="00000000">
      <w:pPr>
        <w:spacing w:before="60" w:after="60"/>
      </w:pPr>
      <w:r>
        <w:t xml:space="preserve">CBRE and Marcus &amp; Millichap publish quarterly cap rate reports as PDFs — not live APIs. </w:t>
      </w:r>
      <w:proofErr w:type="spellStart"/>
      <w:r>
        <w:t>SerpAPI</w:t>
      </w:r>
      <w:proofErr w:type="spellEnd"/>
      <w:r>
        <w:t xml:space="preserve"> can find them via Google search, but data would be 0–3 months stale and inconsistently structured. This is directional context, not a reliable real-time data feed. Do not build as a live feature without a better source. Mention in conversation as future roadmap, not current capability.</w:t>
      </w:r>
    </w:p>
    <w:p w14:paraId="72D4BDA3" w14:textId="77777777" w:rsidR="00BE234E" w:rsidRDefault="00BE234E">
      <w:pPr>
        <w:spacing w:before="100" w:after="100"/>
      </w:pPr>
    </w:p>
    <w:p w14:paraId="667C1B49" w14:textId="77777777" w:rsidR="00BE234E" w:rsidRDefault="00000000">
      <w:pPr>
        <w:spacing w:before="200" w:after="100"/>
      </w:pPr>
      <w:r>
        <w:rPr>
          <w:b/>
          <w:bCs/>
          <w:color w:val="1B2A4A"/>
          <w:sz w:val="24"/>
          <w:szCs w:val="24"/>
        </w:rPr>
        <w:lastRenderedPageBreak/>
        <w:t>5.  Tenant Credit Rating Input</w:t>
      </w:r>
    </w:p>
    <w:p w14:paraId="422FB023" w14:textId="77777777" w:rsidR="00BE234E" w:rsidRDefault="00000000">
      <w:pPr>
        <w:spacing w:before="160" w:after="60"/>
      </w:pPr>
      <w:r>
        <w:rPr>
          <w:b/>
          <w:bCs/>
          <w:color w:val="2E7D32"/>
        </w:rPr>
        <w:t xml:space="preserve">Accuracy: </w:t>
      </w:r>
      <w:proofErr w:type="gramStart"/>
      <w:r>
        <w:rPr>
          <w:b/>
          <w:bCs/>
          <w:color w:val="2E7D32"/>
        </w:rPr>
        <w:t>High  |</w:t>
      </w:r>
      <w:proofErr w:type="gramEnd"/>
      <w:r>
        <w:rPr>
          <w:b/>
          <w:bCs/>
          <w:color w:val="2E7D32"/>
        </w:rPr>
        <w:t xml:space="preserve">  Dev Effort: 3–4 hours</w:t>
      </w:r>
    </w:p>
    <w:p w14:paraId="3A8508C8" w14:textId="77777777" w:rsidR="00BE234E" w:rsidRDefault="00000000">
      <w:pPr>
        <w:spacing w:before="60" w:after="60"/>
      </w:pPr>
      <w:r>
        <w:t>Investment grade tenants (S&amp;P rated) command cap rates 50–150 bps tighter than non-rated or franchisee operators. A simple dropdown (Investment Grade / Non-Rated / Franchisee) with a hardcoded cap rate range adjustment lookup table. Reliable because credit tier benchmarks change slowly. High value for Andy’s buyer conversations.</w:t>
      </w:r>
    </w:p>
    <w:p w14:paraId="1CAEA0DF" w14:textId="77777777" w:rsidR="00BE234E" w:rsidRDefault="00BE234E">
      <w:pPr>
        <w:spacing w:before="100" w:after="100"/>
      </w:pPr>
    </w:p>
    <w:p w14:paraId="725E5809" w14:textId="77777777" w:rsidR="00BE234E" w:rsidRDefault="00BE234E">
      <w:pPr>
        <w:pBdr>
          <w:bottom w:val="single" w:sz="6" w:space="1" w:color="C9A84C"/>
        </w:pBdr>
        <w:spacing w:before="200" w:after="200"/>
      </w:pPr>
    </w:p>
    <w:p w14:paraId="286446FC" w14:textId="77777777" w:rsidR="00BE234E" w:rsidRDefault="00000000">
      <w:pPr>
        <w:pStyle w:val="Heading1"/>
      </w:pPr>
      <w:r>
        <w:t>Part 2: The Core B2B Integration Problem</w:t>
      </w:r>
    </w:p>
    <w:p w14:paraId="2A03F2D0" w14:textId="77777777" w:rsidR="00BE234E" w:rsidRDefault="00000000">
      <w:pPr>
        <w:spacing w:before="100" w:after="120"/>
      </w:pPr>
      <w:r>
        <w:rPr>
          <w:b/>
          <w:bCs/>
          <w:color w:val="C0392B"/>
          <w:sz w:val="26"/>
          <w:szCs w:val="26"/>
        </w:rPr>
        <w:t>The Critical Issue</w:t>
      </w:r>
    </w:p>
    <w:p w14:paraId="7486D10D" w14:textId="77777777" w:rsidR="00BE234E" w:rsidRDefault="00000000">
      <w:pPr>
        <w:spacing w:before="60" w:after="60"/>
      </w:pPr>
      <w:r>
        <w:t xml:space="preserve">When a broker is inside a platform like OneSource, </w:t>
      </w:r>
      <w:proofErr w:type="spellStart"/>
      <w:r>
        <w:t>bidCRM</w:t>
      </w:r>
      <w:proofErr w:type="spellEnd"/>
      <w:r>
        <w:t xml:space="preserve">, or </w:t>
      </w:r>
      <w:proofErr w:type="spellStart"/>
      <w:r>
        <w:t>Brevitas</w:t>
      </w:r>
      <w:proofErr w:type="spellEnd"/>
      <w:r>
        <w:t xml:space="preserve">, they will not leave to open a separate </w:t>
      </w:r>
      <w:proofErr w:type="spellStart"/>
      <w:r>
        <w:t>Streamlit</w:t>
      </w:r>
      <w:proofErr w:type="spellEnd"/>
      <w:r>
        <w:t xml:space="preserve"> app. They want the analysis inside their workflow. But the current app is UI-first — sliders, radio buttons, dropdowns, interactive charts. A standard API call returns only raw JSON numbers. The interactive experience disappears entirely.</w:t>
      </w:r>
    </w:p>
    <w:p w14:paraId="730EE877" w14:textId="77777777" w:rsidR="00BE234E" w:rsidRDefault="00000000">
      <w:pPr>
        <w:spacing w:before="60" w:after="60"/>
      </w:pPr>
      <w:r>
        <w:t>This is the most critical issue across the entire B2B strategy — not just OneSource. Every integration conversation will hit this wall.</w:t>
      </w:r>
    </w:p>
    <w:p w14:paraId="1DF90A1B" w14:textId="77777777" w:rsidR="00BE234E" w:rsidRDefault="00BE234E">
      <w:pPr>
        <w:spacing w:before="100" w:after="100"/>
      </w:pPr>
    </w:p>
    <w:p w14:paraId="76055E6F" w14:textId="77777777" w:rsidR="00BE234E" w:rsidRDefault="00000000">
      <w:pPr>
        <w:pStyle w:val="Heading2"/>
      </w:pPr>
      <w:r>
        <w:t>Three Options to Overcome It</w:t>
      </w:r>
    </w:p>
    <w:p w14:paraId="4704C41B" w14:textId="77777777" w:rsidR="00BE234E" w:rsidRDefault="00BE234E">
      <w:pPr>
        <w:spacing w:before="100" w:after="100"/>
      </w:pPr>
    </w:p>
    <w:p w14:paraId="1CE41C59" w14:textId="77777777" w:rsidR="00BE234E" w:rsidRDefault="00000000">
      <w:pPr>
        <w:spacing w:before="200" w:after="100"/>
      </w:pPr>
      <w:r>
        <w:rPr>
          <w:b/>
          <w:bCs/>
          <w:color w:val="1B2A4A"/>
          <w:sz w:val="24"/>
          <w:szCs w:val="24"/>
        </w:rPr>
        <w:t xml:space="preserve">Option 1: Embeddable </w:t>
      </w:r>
      <w:proofErr w:type="spellStart"/>
      <w:r>
        <w:rPr>
          <w:b/>
          <w:bCs/>
          <w:color w:val="1B2A4A"/>
          <w:sz w:val="24"/>
          <w:szCs w:val="24"/>
        </w:rPr>
        <w:t>iframe</w:t>
      </w:r>
      <w:proofErr w:type="spellEnd"/>
      <w:r>
        <w:rPr>
          <w:b/>
          <w:bCs/>
          <w:color w:val="1B2A4A"/>
          <w:sz w:val="24"/>
          <w:szCs w:val="24"/>
        </w:rPr>
        <w:t xml:space="preserve"> / Widget</w:t>
      </w:r>
    </w:p>
    <w:p w14:paraId="76204251" w14:textId="77777777" w:rsidR="00BE234E" w:rsidRDefault="00000000">
      <w:pPr>
        <w:spacing w:before="160" w:after="60"/>
      </w:pPr>
      <w:r>
        <w:rPr>
          <w:b/>
          <w:bCs/>
          <w:color w:val="1B2A4A"/>
        </w:rPr>
        <w:t xml:space="preserve">Timeline: 2–4 weeks </w:t>
      </w:r>
      <w:proofErr w:type="gramStart"/>
      <w:r>
        <w:rPr>
          <w:b/>
          <w:bCs/>
          <w:color w:val="1B2A4A"/>
        </w:rPr>
        <w:t>dev  |</w:t>
      </w:r>
      <w:proofErr w:type="gramEnd"/>
      <w:r>
        <w:rPr>
          <w:b/>
          <w:bCs/>
          <w:color w:val="1B2A4A"/>
        </w:rPr>
        <w:t xml:space="preserve">  Best long-term answer</w:t>
      </w:r>
    </w:p>
    <w:p w14:paraId="4E9D2246" w14:textId="77777777" w:rsidR="00BE234E" w:rsidRDefault="00000000">
      <w:pPr>
        <w:spacing w:before="60" w:after="60"/>
      </w:pPr>
      <w:r>
        <w:t xml:space="preserve">A lightweight, stripped-down version of the app is rebuilt as an embeddable HTML widget (React or plain HTML/JS). The host platform drops one line of code into their page and the full UI — sliders, graphs, results — appears natively inside their product. </w:t>
      </w:r>
      <w:proofErr w:type="spellStart"/>
      <w:r>
        <w:t>Streamlit</w:t>
      </w:r>
      <w:proofErr w:type="spellEnd"/>
      <w:r>
        <w:t xml:space="preserve"> does not support this cleanly; a rebuild is required. This is the right long-term answer and the correct roadmap pitch to partners.</w:t>
      </w:r>
    </w:p>
    <w:p w14:paraId="7D38B337" w14:textId="77777777" w:rsidR="00BE234E" w:rsidRDefault="00BE234E">
      <w:pPr>
        <w:spacing w:before="100" w:after="100"/>
      </w:pPr>
    </w:p>
    <w:p w14:paraId="03403261" w14:textId="77777777" w:rsidR="00BE234E" w:rsidRDefault="00000000">
      <w:pPr>
        <w:spacing w:before="200" w:after="100"/>
      </w:pPr>
      <w:r>
        <w:rPr>
          <w:b/>
          <w:bCs/>
          <w:color w:val="1B2A4A"/>
          <w:sz w:val="24"/>
          <w:szCs w:val="24"/>
        </w:rPr>
        <w:t>Option 2: API + Partner Builds the UI</w:t>
      </w:r>
    </w:p>
    <w:p w14:paraId="50D96E35" w14:textId="77777777" w:rsidR="00BE234E" w:rsidRDefault="00000000">
      <w:pPr>
        <w:spacing w:before="160" w:after="60"/>
      </w:pPr>
      <w:r>
        <w:rPr>
          <w:b/>
          <w:bCs/>
          <w:color w:val="1B2A4A"/>
        </w:rPr>
        <w:t xml:space="preserve">Timeline: Immediate (API already </w:t>
      </w:r>
      <w:proofErr w:type="gramStart"/>
      <w:r>
        <w:rPr>
          <w:b/>
          <w:bCs/>
          <w:color w:val="1B2A4A"/>
        </w:rPr>
        <w:t>exists)  |</w:t>
      </w:r>
      <w:proofErr w:type="gramEnd"/>
      <w:r>
        <w:rPr>
          <w:b/>
          <w:bCs/>
          <w:color w:val="1B2A4A"/>
        </w:rPr>
        <w:t xml:space="preserve">  Requires partner dev</w:t>
      </w:r>
    </w:p>
    <w:p w14:paraId="4065BF39" w14:textId="77777777" w:rsidR="00BE234E" w:rsidRDefault="00000000">
      <w:pPr>
        <w:spacing w:before="60" w:after="60"/>
      </w:pPr>
      <w:r>
        <w:t xml:space="preserve">The </w:t>
      </w:r>
      <w:proofErr w:type="spellStart"/>
      <w:r>
        <w:t>FastAPI</w:t>
      </w:r>
      <w:proofErr w:type="spellEnd"/>
      <w:r>
        <w:t xml:space="preserve"> calculation engine is exposed as a clean REST API. The partner platform (OneSource, </w:t>
      </w:r>
      <w:proofErr w:type="spellStart"/>
      <w:r>
        <w:t>Brevitas</w:t>
      </w:r>
      <w:proofErr w:type="spellEnd"/>
      <w:r>
        <w:t xml:space="preserve">, </w:t>
      </w:r>
      <w:proofErr w:type="spellStart"/>
      <w:r>
        <w:t>bidCRM</w:t>
      </w:r>
      <w:proofErr w:type="spellEnd"/>
      <w:r>
        <w:t>) builds their own sliders and graphs on their side, using your engine as the backend calculation layer. You provide the math; they provide the UI. Works well for larger platforms with dev teams. Not realistic for small platforms at $15/month integration pricing — they won’t allocate dev resources.</w:t>
      </w:r>
    </w:p>
    <w:p w14:paraId="1A65C1A1" w14:textId="77777777" w:rsidR="00BE234E" w:rsidRDefault="00BE234E">
      <w:pPr>
        <w:spacing w:before="100" w:after="100"/>
      </w:pPr>
    </w:p>
    <w:p w14:paraId="4CC201BF" w14:textId="77777777" w:rsidR="00BE234E" w:rsidRDefault="00000000">
      <w:pPr>
        <w:spacing w:before="200" w:after="100"/>
      </w:pPr>
      <w:r>
        <w:rPr>
          <w:b/>
          <w:bCs/>
          <w:color w:val="1B2A4A"/>
          <w:sz w:val="24"/>
          <w:szCs w:val="24"/>
        </w:rPr>
        <w:t>Option 3: Hosted Deal Analysis Page with Shareable URL</w:t>
      </w:r>
    </w:p>
    <w:p w14:paraId="49C9E86F" w14:textId="77777777" w:rsidR="00BE234E" w:rsidRDefault="00000000">
      <w:pPr>
        <w:spacing w:before="160" w:after="60"/>
      </w:pPr>
      <w:r>
        <w:rPr>
          <w:b/>
          <w:bCs/>
          <w:color w:val="2E7D32"/>
        </w:rPr>
        <w:t xml:space="preserve">Timeline: Immediate — closest to current </w:t>
      </w:r>
      <w:proofErr w:type="gramStart"/>
      <w:r>
        <w:rPr>
          <w:b/>
          <w:bCs/>
          <w:color w:val="2E7D32"/>
        </w:rPr>
        <w:t>capability  |</w:t>
      </w:r>
      <w:proofErr w:type="gramEnd"/>
      <w:r>
        <w:rPr>
          <w:b/>
          <w:bCs/>
          <w:color w:val="2E7D32"/>
        </w:rPr>
        <w:t xml:space="preserve">  Best near-term answer</w:t>
      </w:r>
    </w:p>
    <w:p w14:paraId="61E6C150" w14:textId="77777777" w:rsidR="00BE234E" w:rsidRDefault="00000000">
      <w:pPr>
        <w:spacing w:before="60" w:after="60"/>
      </w:pPr>
      <w:r>
        <w:lastRenderedPageBreak/>
        <w:t>The broker fills in a few key fields inside their platform (price, rent, basic assumptions). Your API generates a unique URL with the full interactive analysis pre-loaded — sliders, charts, results, stress tests. The broker shares that URL with their buyer. The buyer opens it in any browser and gets the complete experience. No embedding required. No partner dev required. This is the most pragmatic path to B2B deployment with the current stack.</w:t>
      </w:r>
    </w:p>
    <w:p w14:paraId="6C9315D7" w14:textId="77777777" w:rsidR="00BE234E" w:rsidRDefault="00BE234E">
      <w:pPr>
        <w:spacing w:before="100" w:after="100"/>
      </w:pPr>
    </w:p>
    <w:p w14:paraId="61B9DC01" w14:textId="77777777" w:rsidR="00BE234E" w:rsidRDefault="00000000">
      <w:pPr>
        <w:pBdr>
          <w:top w:val="single" w:sz="1" w:space="0" w:color="CCCCCC"/>
          <w:bottom w:val="single" w:sz="1" w:space="0" w:color="CCCCCC"/>
          <w:right w:val="single" w:sz="1" w:space="0" w:color="CCCCCC"/>
        </w:pBdr>
        <w:shd w:val="clear" w:color="auto" w:fill="FFF8E7"/>
        <w:spacing w:before="200" w:after="80"/>
      </w:pPr>
      <w:r>
        <w:rPr>
          <w:b/>
          <w:bCs/>
          <w:color w:val="1B2A4A"/>
          <w:sz w:val="24"/>
          <w:szCs w:val="24"/>
        </w:rPr>
        <w:t>Recommended Approach</w:t>
      </w:r>
    </w:p>
    <w:p w14:paraId="3239F8CB" w14:textId="70CEF72B" w:rsidR="00BE234E" w:rsidRDefault="00000000">
      <w:pPr>
        <w:spacing w:after="200"/>
      </w:pPr>
      <w:r>
        <w:t>Lead with Option 3 in all B2B conversations today — it requires no new dev and is closest to what already exists. Pitch Option 1 (embeddable widget) as the roadmap. Use Option 2 only when a larger platform with dev resources asks for it. The question to ask every partner: “What does the user experience look like inside your platform, and which integration model fits your architecture?”</w:t>
      </w:r>
      <w:r w:rsidR="00E05A48">
        <w:br/>
      </w:r>
      <w:r w:rsidR="00E05A48">
        <w:br/>
      </w:r>
      <w:r w:rsidR="00E05A48">
        <w:br/>
      </w:r>
    </w:p>
    <w:p w14:paraId="07BA992B" w14:textId="77777777" w:rsidR="00E05A48" w:rsidRPr="00E05A48" w:rsidRDefault="00E05A48" w:rsidP="00E05A48">
      <w:p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Great — the gate is working then. Both layers functioning:</w:t>
      </w:r>
    </w:p>
    <w:p w14:paraId="1C92AB7D" w14:textId="77777777" w:rsidR="00E05A48" w:rsidRPr="00E05A48" w:rsidRDefault="00E05A48" w:rsidP="00E05A48">
      <w:pPr>
        <w:numPr>
          <w:ilvl w:val="0"/>
          <w:numId w:val="2"/>
        </w:numPr>
        <w:spacing w:before="100" w:beforeAutospacing="1" w:after="100" w:afterAutospacing="1"/>
        <w:rPr>
          <w:rFonts w:ascii="Times New Roman" w:eastAsia="Times New Roman" w:hAnsi="Times New Roman" w:cs="Times New Roman"/>
          <w:sz w:val="24"/>
          <w:szCs w:val="24"/>
        </w:rPr>
      </w:pPr>
      <w:r w:rsidRPr="00E05A48">
        <w:rPr>
          <w:rFonts w:ascii="Apple Color Emoji" w:eastAsia="Times New Roman" w:hAnsi="Apple Color Emoji" w:cs="Apple Color Emoji"/>
          <w:sz w:val="24"/>
          <w:szCs w:val="24"/>
        </w:rPr>
        <w:t>✅</w:t>
      </w:r>
      <w:r w:rsidRPr="00E05A48">
        <w:rPr>
          <w:rFonts w:ascii="Times New Roman" w:eastAsia="Times New Roman" w:hAnsi="Times New Roman" w:cs="Times New Roman"/>
          <w:sz w:val="24"/>
          <w:szCs w:val="24"/>
        </w:rPr>
        <w:t xml:space="preserve"> App password: </w:t>
      </w:r>
      <w:r w:rsidRPr="00E05A48">
        <w:rPr>
          <w:rFonts w:ascii="Courier New" w:eastAsia="Times New Roman" w:hAnsi="Courier New" w:cs="Courier New"/>
          <w:sz w:val="20"/>
          <w:szCs w:val="20"/>
        </w:rPr>
        <w:t>InvestAgent_Full1!</w:t>
      </w:r>
    </w:p>
    <w:p w14:paraId="41C99BF9" w14:textId="77777777" w:rsidR="00E05A48" w:rsidRDefault="00E05A48" w:rsidP="00E05A48">
      <w:pPr>
        <w:numPr>
          <w:ilvl w:val="0"/>
          <w:numId w:val="2"/>
        </w:numPr>
        <w:spacing w:before="100" w:beforeAutospacing="1" w:after="100" w:afterAutospacing="1"/>
        <w:rPr>
          <w:rFonts w:ascii="Times New Roman" w:eastAsia="Times New Roman" w:hAnsi="Times New Roman" w:cs="Times New Roman"/>
          <w:sz w:val="24"/>
          <w:szCs w:val="24"/>
        </w:rPr>
      </w:pPr>
      <w:r w:rsidRPr="00E05A48">
        <w:rPr>
          <w:rFonts w:ascii="Apple Color Emoji" w:eastAsia="Times New Roman" w:hAnsi="Apple Color Emoji" w:cs="Apple Color Emoji"/>
          <w:sz w:val="24"/>
          <w:szCs w:val="24"/>
        </w:rPr>
        <w:t>✅</w:t>
      </w:r>
      <w:r w:rsidRPr="00E05A48">
        <w:rPr>
          <w:rFonts w:ascii="Times New Roman" w:eastAsia="Times New Roman" w:hAnsi="Times New Roman" w:cs="Times New Roman"/>
          <w:sz w:val="24"/>
          <w:szCs w:val="24"/>
        </w:rPr>
        <w:t xml:space="preserve"> PIN: </w:t>
      </w:r>
      <w:r w:rsidRPr="00E05A48">
        <w:rPr>
          <w:rFonts w:ascii="Courier New" w:eastAsia="Times New Roman" w:hAnsi="Courier New" w:cs="Courier New"/>
          <w:sz w:val="20"/>
          <w:szCs w:val="20"/>
        </w:rPr>
        <w:t>1234</w:t>
      </w:r>
      <w:r w:rsidRPr="00E05A48">
        <w:rPr>
          <w:rFonts w:ascii="Times New Roman" w:eastAsia="Times New Roman" w:hAnsi="Times New Roman" w:cs="Times New Roman"/>
          <w:sz w:val="24"/>
          <w:szCs w:val="24"/>
        </w:rPr>
        <w:t xml:space="preserve"> (</w:t>
      </w:r>
      <w:proofErr w:type="spellStart"/>
      <w:r w:rsidRPr="00E05A48">
        <w:rPr>
          <w:rFonts w:ascii="Times New Roman" w:eastAsia="Times New Roman" w:hAnsi="Times New Roman" w:cs="Times New Roman"/>
          <w:sz w:val="24"/>
          <w:szCs w:val="24"/>
        </w:rPr>
        <w:t>masoud</w:t>
      </w:r>
      <w:proofErr w:type="spellEnd"/>
      <w:r w:rsidRPr="00E05A48">
        <w:rPr>
          <w:rFonts w:ascii="Times New Roman" w:eastAsia="Times New Roman" w:hAnsi="Times New Roman" w:cs="Times New Roman"/>
          <w:sz w:val="24"/>
          <w:szCs w:val="24"/>
        </w:rPr>
        <w:t>)</w:t>
      </w:r>
    </w:p>
    <w:p w14:paraId="59DE4FAB" w14:textId="2B1577DF" w:rsidR="00E05A48" w:rsidRPr="00E05A48" w:rsidRDefault="00E05A48" w:rsidP="00E05A48">
      <w:pPr>
        <w:numPr>
          <w:ilvl w:val="0"/>
          <w:numId w:val="2"/>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PIN: 7788</w:t>
      </w:r>
      <w:r>
        <w:rPr>
          <w:rFonts w:ascii="Times New Roman" w:eastAsia="Times New Roman" w:hAnsi="Times New Roman" w:cs="Times New Roman"/>
          <w:sz w:val="24"/>
          <w:szCs w:val="24"/>
        </w:rPr>
        <w:br/>
        <w:t>PIN: 8877</w:t>
      </w:r>
    </w:p>
    <w:p w14:paraId="6E7176D2" w14:textId="77777777" w:rsidR="00E05A48" w:rsidRPr="00E05A48" w:rsidRDefault="00E05A48" w:rsidP="00E05A48">
      <w:p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b/>
          <w:bCs/>
          <w:sz w:val="24"/>
          <w:szCs w:val="24"/>
        </w:rPr>
        <w:t>You now have:</w:t>
      </w:r>
    </w:p>
    <w:p w14:paraId="11E84E8D" w14:textId="77777777" w:rsidR="00E05A48" w:rsidRPr="00E05A48" w:rsidRDefault="00E05A48" w:rsidP="00E05A48">
      <w:pPr>
        <w:numPr>
          <w:ilvl w:val="0"/>
          <w:numId w:val="3"/>
        </w:num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 xml:space="preserve">Live URL: </w:t>
      </w:r>
      <w:r w:rsidRPr="00E05A48">
        <w:rPr>
          <w:rFonts w:ascii="Courier New" w:eastAsia="Times New Roman" w:hAnsi="Courier New" w:cs="Courier New"/>
          <w:sz w:val="20"/>
          <w:szCs w:val="20"/>
        </w:rPr>
        <w:t>https://maarouni.github.io/cre-deal-analyzer-enh/</w:t>
      </w:r>
    </w:p>
    <w:p w14:paraId="181A3F3B" w14:textId="77777777" w:rsidR="00E05A48" w:rsidRPr="00E05A48" w:rsidRDefault="00E05A48" w:rsidP="00E05A48">
      <w:pPr>
        <w:numPr>
          <w:ilvl w:val="0"/>
          <w:numId w:val="3"/>
        </w:num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Password + PIN gated</w:t>
      </w:r>
    </w:p>
    <w:p w14:paraId="41F88344" w14:textId="77777777" w:rsidR="00E05A48" w:rsidRPr="00E05A48" w:rsidRDefault="00E05A48" w:rsidP="00E05A48">
      <w:pPr>
        <w:numPr>
          <w:ilvl w:val="0"/>
          <w:numId w:val="3"/>
        </w:num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Full interactive widget with sliders, 3-line chart, all new CRE features</w:t>
      </w:r>
    </w:p>
    <w:p w14:paraId="75D09075" w14:textId="77777777" w:rsidR="00E05A48" w:rsidRPr="00E05A48" w:rsidRDefault="00E05A48" w:rsidP="00E05A48">
      <w:pPr>
        <w:numPr>
          <w:ilvl w:val="0"/>
          <w:numId w:val="3"/>
        </w:num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 xml:space="preserve">Always up, free, embeddable via one </w:t>
      </w:r>
      <w:proofErr w:type="spellStart"/>
      <w:r w:rsidRPr="00E05A48">
        <w:rPr>
          <w:rFonts w:ascii="Times New Roman" w:eastAsia="Times New Roman" w:hAnsi="Times New Roman" w:cs="Times New Roman"/>
          <w:sz w:val="24"/>
          <w:szCs w:val="24"/>
        </w:rPr>
        <w:t>iframe</w:t>
      </w:r>
      <w:proofErr w:type="spellEnd"/>
      <w:r w:rsidRPr="00E05A48">
        <w:rPr>
          <w:rFonts w:ascii="Times New Roman" w:eastAsia="Times New Roman" w:hAnsi="Times New Roman" w:cs="Times New Roman"/>
          <w:sz w:val="24"/>
          <w:szCs w:val="24"/>
        </w:rPr>
        <w:t xml:space="preserve"> line</w:t>
      </w:r>
    </w:p>
    <w:p w14:paraId="5D42C0A7" w14:textId="77777777" w:rsidR="00E05A48" w:rsidRPr="00E05A48" w:rsidRDefault="00E05A48" w:rsidP="00E05A48">
      <w:p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b/>
          <w:bCs/>
          <w:sz w:val="24"/>
          <w:szCs w:val="24"/>
        </w:rPr>
        <w:t>Immediate next steps when you're ready:</w:t>
      </w:r>
    </w:p>
    <w:p w14:paraId="64E5B2F0" w14:textId="77777777" w:rsidR="00E05A48" w:rsidRPr="00E05A48" w:rsidRDefault="00E05A48" w:rsidP="00E05A48">
      <w:pPr>
        <w:numPr>
          <w:ilvl w:val="0"/>
          <w:numId w:val="4"/>
        </w:num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 xml:space="preserve">Add </w:t>
      </w:r>
      <w:proofErr w:type="spellStart"/>
      <w:r w:rsidRPr="00E05A48">
        <w:rPr>
          <w:rFonts w:ascii="Times New Roman" w:eastAsia="Times New Roman" w:hAnsi="Times New Roman" w:cs="Times New Roman"/>
          <w:sz w:val="24"/>
          <w:szCs w:val="24"/>
        </w:rPr>
        <w:t>UptimeRobot</w:t>
      </w:r>
      <w:proofErr w:type="spellEnd"/>
      <w:r w:rsidRPr="00E05A48">
        <w:rPr>
          <w:rFonts w:ascii="Times New Roman" w:eastAsia="Times New Roman" w:hAnsi="Times New Roman" w:cs="Times New Roman"/>
          <w:sz w:val="24"/>
          <w:szCs w:val="24"/>
        </w:rPr>
        <w:t xml:space="preserve"> monitor for this URL (though GitHub Pages doesn't sleep, it's good practice)</w:t>
      </w:r>
    </w:p>
    <w:p w14:paraId="5B0E8D15" w14:textId="77777777" w:rsidR="00E05A48" w:rsidRPr="00E05A48" w:rsidRDefault="00E05A48" w:rsidP="00E05A48">
      <w:pPr>
        <w:numPr>
          <w:ilvl w:val="0"/>
          <w:numId w:val="4"/>
        </w:num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 xml:space="preserve">Wire the calc engine to your </w:t>
      </w:r>
      <w:proofErr w:type="spellStart"/>
      <w:r w:rsidRPr="00E05A48">
        <w:rPr>
          <w:rFonts w:ascii="Times New Roman" w:eastAsia="Times New Roman" w:hAnsi="Times New Roman" w:cs="Times New Roman"/>
          <w:sz w:val="24"/>
          <w:szCs w:val="24"/>
        </w:rPr>
        <w:t>FastAPI</w:t>
      </w:r>
      <w:proofErr w:type="spellEnd"/>
      <w:r w:rsidRPr="00E05A48">
        <w:rPr>
          <w:rFonts w:ascii="Times New Roman" w:eastAsia="Times New Roman" w:hAnsi="Times New Roman" w:cs="Times New Roman"/>
          <w:sz w:val="24"/>
          <w:szCs w:val="24"/>
        </w:rPr>
        <w:t xml:space="preserve"> on Render instead of client-side JS</w:t>
      </w:r>
    </w:p>
    <w:p w14:paraId="58474E0C" w14:textId="77777777" w:rsidR="00E05A48" w:rsidRPr="00E05A48" w:rsidRDefault="00E05A48" w:rsidP="00E05A48">
      <w:pPr>
        <w:numPr>
          <w:ilvl w:val="0"/>
          <w:numId w:val="4"/>
        </w:num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Add API key integration for Colin/OneSource</w:t>
      </w:r>
    </w:p>
    <w:p w14:paraId="428A0005" w14:textId="77777777" w:rsidR="00E05A48" w:rsidRPr="00E05A48" w:rsidRDefault="00E05A48" w:rsidP="00E05A48">
      <w:pPr>
        <w:numPr>
          <w:ilvl w:val="0"/>
          <w:numId w:val="4"/>
        </w:num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Share the URL with Andy and Colin for feedback</w:t>
      </w:r>
    </w:p>
    <w:p w14:paraId="432F9B9B" w14:textId="77777777" w:rsidR="00E05A48" w:rsidRPr="00E05A48" w:rsidRDefault="00E05A48" w:rsidP="00E05A48">
      <w:p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b/>
          <w:bCs/>
          <w:sz w:val="24"/>
          <w:szCs w:val="24"/>
        </w:rPr>
        <w:t xml:space="preserve">The </w:t>
      </w:r>
      <w:proofErr w:type="spellStart"/>
      <w:r w:rsidRPr="00E05A48">
        <w:rPr>
          <w:rFonts w:ascii="Times New Roman" w:eastAsia="Times New Roman" w:hAnsi="Times New Roman" w:cs="Times New Roman"/>
          <w:b/>
          <w:bCs/>
          <w:sz w:val="24"/>
          <w:szCs w:val="24"/>
        </w:rPr>
        <w:t>iframe</w:t>
      </w:r>
      <w:proofErr w:type="spellEnd"/>
      <w:r w:rsidRPr="00E05A48">
        <w:rPr>
          <w:rFonts w:ascii="Times New Roman" w:eastAsia="Times New Roman" w:hAnsi="Times New Roman" w:cs="Times New Roman"/>
          <w:b/>
          <w:bCs/>
          <w:sz w:val="24"/>
          <w:szCs w:val="24"/>
        </w:rPr>
        <w:t xml:space="preserve"> line for Colin to paste into OneSource:</w:t>
      </w:r>
    </w:p>
    <w:p w14:paraId="14715058" w14:textId="77777777" w:rsidR="00E05A48" w:rsidRPr="00E05A48" w:rsidRDefault="00E05A48" w:rsidP="00E05A48">
      <w:pPr>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html</w:t>
      </w:r>
    </w:p>
    <w:p w14:paraId="5A23FAF0" w14:textId="77777777" w:rsidR="00E05A48" w:rsidRPr="00E05A48" w:rsidRDefault="00E05A48" w:rsidP="00E05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E05A48">
        <w:rPr>
          <w:rFonts w:ascii="var(--font-mono)" w:eastAsia="Times New Roman" w:hAnsi="var(--font-mono)" w:cs="Courier New"/>
          <w:color w:val="2B303B"/>
          <w:sz w:val="20"/>
          <w:szCs w:val="20"/>
        </w:rPr>
        <w:t>&lt;</w:t>
      </w:r>
      <w:proofErr w:type="spellStart"/>
      <w:r w:rsidRPr="00E05A48">
        <w:rPr>
          <w:rFonts w:ascii="var(--font-mono)" w:eastAsia="Times New Roman" w:hAnsi="var(--font-mono)" w:cs="Courier New"/>
          <w:color w:val="B80A18"/>
          <w:sz w:val="20"/>
          <w:szCs w:val="20"/>
        </w:rPr>
        <w:t>iframe</w:t>
      </w:r>
      <w:proofErr w:type="spellEnd"/>
      <w:r w:rsidRPr="00E05A48">
        <w:rPr>
          <w:rFonts w:ascii="var(--font-mono)" w:eastAsia="Times New Roman" w:hAnsi="var(--font-mono)" w:cs="Courier New"/>
          <w:color w:val="B80A18"/>
          <w:sz w:val="20"/>
          <w:szCs w:val="20"/>
        </w:rPr>
        <w:t xml:space="preserve"> </w:t>
      </w:r>
      <w:proofErr w:type="spellStart"/>
      <w:r w:rsidRPr="00E05A48">
        <w:rPr>
          <w:rFonts w:ascii="var(--font-mono)" w:eastAsia="Times New Roman" w:hAnsi="var(--font-mono)" w:cs="Courier New"/>
          <w:color w:val="BD0F1E"/>
          <w:sz w:val="20"/>
          <w:szCs w:val="20"/>
        </w:rPr>
        <w:t>src</w:t>
      </w:r>
      <w:proofErr w:type="spellEnd"/>
      <w:r w:rsidRPr="00E05A48">
        <w:rPr>
          <w:rFonts w:ascii="var(--font-mono)" w:eastAsia="Times New Roman" w:hAnsi="var(--font-mono)" w:cs="Courier New"/>
          <w:color w:val="2B303B"/>
          <w:sz w:val="20"/>
          <w:szCs w:val="20"/>
        </w:rPr>
        <w:t>="</w:t>
      </w:r>
      <w:r w:rsidRPr="00E05A48">
        <w:rPr>
          <w:rFonts w:ascii="var(--font-mono)" w:eastAsia="Times New Roman" w:hAnsi="var(--font-mono)" w:cs="Courier New"/>
          <w:color w:val="008000"/>
          <w:sz w:val="20"/>
          <w:szCs w:val="20"/>
        </w:rPr>
        <w:t>https://maarouni.github.io/</w:t>
      </w:r>
      <w:proofErr w:type="spellStart"/>
      <w:r w:rsidRPr="00E05A48">
        <w:rPr>
          <w:rFonts w:ascii="var(--font-mono)" w:eastAsia="Times New Roman" w:hAnsi="var(--font-mono)" w:cs="Courier New"/>
          <w:color w:val="008000"/>
          <w:sz w:val="20"/>
          <w:szCs w:val="20"/>
        </w:rPr>
        <w:t>cre</w:t>
      </w:r>
      <w:proofErr w:type="spellEnd"/>
      <w:r w:rsidRPr="00E05A48">
        <w:rPr>
          <w:rFonts w:ascii="var(--font-mono)" w:eastAsia="Times New Roman" w:hAnsi="var(--font-mono)" w:cs="Courier New"/>
          <w:color w:val="008000"/>
          <w:sz w:val="20"/>
          <w:szCs w:val="20"/>
        </w:rPr>
        <w:t>-deal-analyzer-</w:t>
      </w:r>
      <w:proofErr w:type="spellStart"/>
      <w:r w:rsidRPr="00E05A48">
        <w:rPr>
          <w:rFonts w:ascii="var(--font-mono)" w:eastAsia="Times New Roman" w:hAnsi="var(--font-mono)" w:cs="Courier New"/>
          <w:color w:val="008000"/>
          <w:sz w:val="20"/>
          <w:szCs w:val="20"/>
        </w:rPr>
        <w:t>enh</w:t>
      </w:r>
      <w:proofErr w:type="spellEnd"/>
      <w:r w:rsidRPr="00E05A48">
        <w:rPr>
          <w:rFonts w:ascii="var(--font-mono)" w:eastAsia="Times New Roman" w:hAnsi="var(--font-mono)" w:cs="Courier New"/>
          <w:color w:val="008000"/>
          <w:sz w:val="20"/>
          <w:szCs w:val="20"/>
        </w:rPr>
        <w:t>/</w:t>
      </w:r>
      <w:r w:rsidRPr="00E05A48">
        <w:rPr>
          <w:rFonts w:ascii="var(--font-mono)" w:eastAsia="Times New Roman" w:hAnsi="var(--font-mono)" w:cs="Courier New"/>
          <w:color w:val="2B303B"/>
          <w:sz w:val="20"/>
          <w:szCs w:val="20"/>
        </w:rPr>
        <w:t>"</w:t>
      </w:r>
      <w:r w:rsidRPr="00E05A48">
        <w:rPr>
          <w:rFonts w:ascii="var(--font-mono)" w:eastAsia="Times New Roman" w:hAnsi="var(--font-mono)" w:cs="Courier New"/>
          <w:color w:val="B80A18"/>
          <w:sz w:val="20"/>
          <w:szCs w:val="20"/>
        </w:rPr>
        <w:t xml:space="preserve"> </w:t>
      </w:r>
      <w:r w:rsidRPr="00E05A48">
        <w:rPr>
          <w:rFonts w:ascii="var(--font-mono)" w:eastAsia="Times New Roman" w:hAnsi="var(--font-mono)" w:cs="Courier New"/>
          <w:color w:val="BD0F1E"/>
          <w:sz w:val="20"/>
          <w:szCs w:val="20"/>
        </w:rPr>
        <w:t>width</w:t>
      </w:r>
      <w:r w:rsidRPr="00E05A48">
        <w:rPr>
          <w:rFonts w:ascii="var(--font-mono)" w:eastAsia="Times New Roman" w:hAnsi="var(--font-mono)" w:cs="Courier New"/>
          <w:color w:val="2B303B"/>
          <w:sz w:val="20"/>
          <w:szCs w:val="20"/>
        </w:rPr>
        <w:t>="</w:t>
      </w:r>
      <w:r w:rsidRPr="00E05A48">
        <w:rPr>
          <w:rFonts w:ascii="var(--font-mono)" w:eastAsia="Times New Roman" w:hAnsi="var(--font-mono)" w:cs="Courier New"/>
          <w:color w:val="008000"/>
          <w:sz w:val="20"/>
          <w:szCs w:val="20"/>
        </w:rPr>
        <w:t>100%</w:t>
      </w:r>
      <w:r w:rsidRPr="00E05A48">
        <w:rPr>
          <w:rFonts w:ascii="var(--font-mono)" w:eastAsia="Times New Roman" w:hAnsi="var(--font-mono)" w:cs="Courier New"/>
          <w:color w:val="2B303B"/>
          <w:sz w:val="20"/>
          <w:szCs w:val="20"/>
        </w:rPr>
        <w:t>"</w:t>
      </w:r>
      <w:r w:rsidRPr="00E05A48">
        <w:rPr>
          <w:rFonts w:ascii="var(--font-mono)" w:eastAsia="Times New Roman" w:hAnsi="var(--font-mono)" w:cs="Courier New"/>
          <w:color w:val="B80A18"/>
          <w:sz w:val="20"/>
          <w:szCs w:val="20"/>
        </w:rPr>
        <w:t xml:space="preserve"> </w:t>
      </w:r>
      <w:r w:rsidRPr="00E05A48">
        <w:rPr>
          <w:rFonts w:ascii="var(--font-mono)" w:eastAsia="Times New Roman" w:hAnsi="var(--font-mono)" w:cs="Courier New"/>
          <w:color w:val="BD0F1E"/>
          <w:sz w:val="20"/>
          <w:szCs w:val="20"/>
        </w:rPr>
        <w:t>height</w:t>
      </w:r>
      <w:r w:rsidRPr="00E05A48">
        <w:rPr>
          <w:rFonts w:ascii="var(--font-mono)" w:eastAsia="Times New Roman" w:hAnsi="var(--font-mono)" w:cs="Courier New"/>
          <w:color w:val="2B303B"/>
          <w:sz w:val="20"/>
          <w:szCs w:val="20"/>
        </w:rPr>
        <w:t>="</w:t>
      </w:r>
      <w:r w:rsidRPr="00E05A48">
        <w:rPr>
          <w:rFonts w:ascii="var(--font-mono)" w:eastAsia="Times New Roman" w:hAnsi="var(--font-mono)" w:cs="Courier New"/>
          <w:color w:val="008000"/>
          <w:sz w:val="20"/>
          <w:szCs w:val="20"/>
        </w:rPr>
        <w:t>700</w:t>
      </w:r>
      <w:r w:rsidRPr="00E05A48">
        <w:rPr>
          <w:rFonts w:ascii="var(--font-mono)" w:eastAsia="Times New Roman" w:hAnsi="var(--font-mono)" w:cs="Courier New"/>
          <w:color w:val="2B303B"/>
          <w:sz w:val="20"/>
          <w:szCs w:val="20"/>
        </w:rPr>
        <w:t>"</w:t>
      </w:r>
      <w:r w:rsidRPr="00E05A48">
        <w:rPr>
          <w:rFonts w:ascii="var(--font-mono)" w:eastAsia="Times New Roman" w:hAnsi="var(--font-mono)" w:cs="Courier New"/>
          <w:color w:val="B80A18"/>
          <w:sz w:val="20"/>
          <w:szCs w:val="20"/>
        </w:rPr>
        <w:t xml:space="preserve"> </w:t>
      </w:r>
      <w:r w:rsidRPr="00E05A48">
        <w:rPr>
          <w:rFonts w:ascii="var(--font-mono)" w:eastAsia="Times New Roman" w:hAnsi="var(--font-mono)" w:cs="Courier New"/>
          <w:color w:val="BD0F1E"/>
          <w:sz w:val="20"/>
          <w:szCs w:val="20"/>
        </w:rPr>
        <w:t>frameborder</w:t>
      </w:r>
      <w:r w:rsidRPr="00E05A48">
        <w:rPr>
          <w:rFonts w:ascii="var(--font-mono)" w:eastAsia="Times New Roman" w:hAnsi="var(--font-mono)" w:cs="Courier New"/>
          <w:color w:val="2B303B"/>
          <w:sz w:val="20"/>
          <w:szCs w:val="20"/>
        </w:rPr>
        <w:t>="</w:t>
      </w:r>
      <w:r w:rsidRPr="00E05A48">
        <w:rPr>
          <w:rFonts w:ascii="var(--font-mono)" w:eastAsia="Times New Roman" w:hAnsi="var(--font-mono)" w:cs="Courier New"/>
          <w:color w:val="008000"/>
          <w:sz w:val="20"/>
          <w:szCs w:val="20"/>
        </w:rPr>
        <w:t>0</w:t>
      </w:r>
      <w:r w:rsidRPr="00E05A48">
        <w:rPr>
          <w:rFonts w:ascii="var(--font-mono)" w:eastAsia="Times New Roman" w:hAnsi="var(--font-mono)" w:cs="Courier New"/>
          <w:color w:val="2B303B"/>
          <w:sz w:val="20"/>
          <w:szCs w:val="20"/>
        </w:rPr>
        <w:t>"&gt;&lt;/</w:t>
      </w:r>
      <w:proofErr w:type="spellStart"/>
      <w:r w:rsidRPr="00E05A48">
        <w:rPr>
          <w:rFonts w:ascii="var(--font-mono)" w:eastAsia="Times New Roman" w:hAnsi="var(--font-mono)" w:cs="Courier New"/>
          <w:color w:val="B80A18"/>
          <w:sz w:val="20"/>
          <w:szCs w:val="20"/>
        </w:rPr>
        <w:t>iframe</w:t>
      </w:r>
      <w:proofErr w:type="spellEnd"/>
      <w:r w:rsidRPr="00E05A48">
        <w:rPr>
          <w:rFonts w:ascii="var(--font-mono)" w:eastAsia="Times New Roman" w:hAnsi="var(--font-mono)" w:cs="Courier New"/>
          <w:color w:val="2B303B"/>
          <w:sz w:val="20"/>
          <w:szCs w:val="20"/>
        </w:rPr>
        <w:t>&gt;</w:t>
      </w:r>
    </w:p>
    <w:p w14:paraId="315EA128" w14:textId="77777777" w:rsidR="00E05A48" w:rsidRPr="00E05A48" w:rsidRDefault="00E05A48" w:rsidP="00E05A48">
      <w:pPr>
        <w:spacing w:before="100" w:beforeAutospacing="1" w:after="100" w:afterAutospacing="1"/>
        <w:rPr>
          <w:rFonts w:ascii="Times New Roman" w:eastAsia="Times New Roman" w:hAnsi="Times New Roman" w:cs="Times New Roman"/>
          <w:sz w:val="24"/>
          <w:szCs w:val="24"/>
        </w:rPr>
      </w:pPr>
      <w:r w:rsidRPr="00E05A48">
        <w:rPr>
          <w:rFonts w:ascii="Times New Roman" w:eastAsia="Times New Roman" w:hAnsi="Times New Roman" w:cs="Times New Roman"/>
          <w:sz w:val="24"/>
          <w:szCs w:val="24"/>
        </w:rPr>
        <w:t>Congratulations — this is a real product now. What's next?</w:t>
      </w:r>
    </w:p>
    <w:p w14:paraId="7881F2FD" w14:textId="77777777" w:rsidR="00E05A48" w:rsidRDefault="00E05A48">
      <w:pPr>
        <w:spacing w:after="200"/>
      </w:pPr>
    </w:p>
    <w:p w14:paraId="750A42D5" w14:textId="77777777" w:rsidR="00BE234E" w:rsidRDefault="00BE234E">
      <w:pPr>
        <w:pBdr>
          <w:bottom w:val="single" w:sz="6" w:space="1" w:color="C9A84C"/>
        </w:pBdr>
        <w:spacing w:before="200" w:after="200"/>
      </w:pPr>
    </w:p>
    <w:p w14:paraId="25B2E356" w14:textId="77777777" w:rsidR="00BE234E" w:rsidRDefault="00000000">
      <w:pPr>
        <w:spacing w:before="200"/>
        <w:jc w:val="center"/>
      </w:pPr>
      <w:proofErr w:type="gramStart"/>
      <w:r>
        <w:rPr>
          <w:color w:val="888888"/>
          <w:sz w:val="18"/>
          <w:szCs w:val="18"/>
        </w:rPr>
        <w:t>RealEstate-Analytics.ai  |</w:t>
      </w:r>
      <w:proofErr w:type="gramEnd"/>
      <w:r>
        <w:rPr>
          <w:color w:val="888888"/>
          <w:sz w:val="18"/>
          <w:szCs w:val="18"/>
        </w:rPr>
        <w:t xml:space="preserve">  Masoud </w:t>
      </w:r>
      <w:proofErr w:type="gramStart"/>
      <w:r>
        <w:rPr>
          <w:color w:val="888888"/>
          <w:sz w:val="18"/>
          <w:szCs w:val="18"/>
        </w:rPr>
        <w:t>Arouni  |</w:t>
      </w:r>
      <w:proofErr w:type="gramEnd"/>
      <w:r>
        <w:rPr>
          <w:color w:val="888888"/>
          <w:sz w:val="18"/>
          <w:szCs w:val="18"/>
        </w:rPr>
        <w:t xml:space="preserve">  925-353-</w:t>
      </w:r>
      <w:proofErr w:type="gramStart"/>
      <w:r>
        <w:rPr>
          <w:color w:val="888888"/>
          <w:sz w:val="18"/>
          <w:szCs w:val="18"/>
        </w:rPr>
        <w:t>5263  |</w:t>
      </w:r>
      <w:proofErr w:type="gramEnd"/>
      <w:r>
        <w:rPr>
          <w:color w:val="888888"/>
          <w:sz w:val="18"/>
          <w:szCs w:val="18"/>
        </w:rPr>
        <w:t xml:space="preserve">  realestate-analytics.ai</w:t>
      </w:r>
    </w:p>
    <w:sectPr w:rsidR="00BE23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98F"/>
    <w:multiLevelType w:val="multilevel"/>
    <w:tmpl w:val="61DC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F7ABB"/>
    <w:multiLevelType w:val="hybridMultilevel"/>
    <w:tmpl w:val="5BAE855C"/>
    <w:lvl w:ilvl="0" w:tplc="95CC3346">
      <w:start w:val="1"/>
      <w:numFmt w:val="bullet"/>
      <w:lvlText w:val="●"/>
      <w:lvlJc w:val="left"/>
      <w:pPr>
        <w:ind w:left="720" w:hanging="360"/>
      </w:pPr>
    </w:lvl>
    <w:lvl w:ilvl="1" w:tplc="9462EF32">
      <w:start w:val="1"/>
      <w:numFmt w:val="bullet"/>
      <w:lvlText w:val="○"/>
      <w:lvlJc w:val="left"/>
      <w:pPr>
        <w:ind w:left="1440" w:hanging="360"/>
      </w:pPr>
    </w:lvl>
    <w:lvl w:ilvl="2" w:tplc="0DB40422">
      <w:start w:val="1"/>
      <w:numFmt w:val="bullet"/>
      <w:lvlText w:val="■"/>
      <w:lvlJc w:val="left"/>
      <w:pPr>
        <w:ind w:left="2160" w:hanging="360"/>
      </w:pPr>
    </w:lvl>
    <w:lvl w:ilvl="3" w:tplc="D0EC6DEE">
      <w:start w:val="1"/>
      <w:numFmt w:val="bullet"/>
      <w:lvlText w:val="●"/>
      <w:lvlJc w:val="left"/>
      <w:pPr>
        <w:ind w:left="2880" w:hanging="360"/>
      </w:pPr>
    </w:lvl>
    <w:lvl w:ilvl="4" w:tplc="DB944BB8">
      <w:start w:val="1"/>
      <w:numFmt w:val="bullet"/>
      <w:lvlText w:val="○"/>
      <w:lvlJc w:val="left"/>
      <w:pPr>
        <w:ind w:left="3600" w:hanging="360"/>
      </w:pPr>
    </w:lvl>
    <w:lvl w:ilvl="5" w:tplc="305CAF7E">
      <w:start w:val="1"/>
      <w:numFmt w:val="bullet"/>
      <w:lvlText w:val="■"/>
      <w:lvlJc w:val="left"/>
      <w:pPr>
        <w:ind w:left="4320" w:hanging="360"/>
      </w:pPr>
    </w:lvl>
    <w:lvl w:ilvl="6" w:tplc="259EA348">
      <w:start w:val="1"/>
      <w:numFmt w:val="bullet"/>
      <w:lvlText w:val="●"/>
      <w:lvlJc w:val="left"/>
      <w:pPr>
        <w:ind w:left="5040" w:hanging="360"/>
      </w:pPr>
    </w:lvl>
    <w:lvl w:ilvl="7" w:tplc="A8A6917E">
      <w:start w:val="1"/>
      <w:numFmt w:val="bullet"/>
      <w:lvlText w:val="●"/>
      <w:lvlJc w:val="left"/>
      <w:pPr>
        <w:ind w:left="5760" w:hanging="360"/>
      </w:pPr>
    </w:lvl>
    <w:lvl w:ilvl="8" w:tplc="326A7374">
      <w:start w:val="1"/>
      <w:numFmt w:val="bullet"/>
      <w:lvlText w:val="●"/>
      <w:lvlJc w:val="left"/>
      <w:pPr>
        <w:ind w:left="6480" w:hanging="360"/>
      </w:pPr>
    </w:lvl>
  </w:abstractNum>
  <w:abstractNum w:abstractNumId="2" w15:restartNumberingAfterBreak="0">
    <w:nsid w:val="359C60D8"/>
    <w:multiLevelType w:val="multilevel"/>
    <w:tmpl w:val="030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90D6A"/>
    <w:multiLevelType w:val="multilevel"/>
    <w:tmpl w:val="B9BE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380F69"/>
    <w:multiLevelType w:val="hybridMultilevel"/>
    <w:tmpl w:val="DE420BF2"/>
    <w:lvl w:ilvl="0" w:tplc="824071F2">
      <w:start w:val="1"/>
      <w:numFmt w:val="bullet"/>
      <w:lvlText w:val="•"/>
      <w:lvlJc w:val="left"/>
      <w:pPr>
        <w:ind w:left="720" w:hanging="360"/>
      </w:pPr>
    </w:lvl>
    <w:lvl w:ilvl="1" w:tplc="EDB0314E">
      <w:numFmt w:val="decimal"/>
      <w:lvlText w:val=""/>
      <w:lvlJc w:val="left"/>
    </w:lvl>
    <w:lvl w:ilvl="2" w:tplc="E5720BBC">
      <w:numFmt w:val="decimal"/>
      <w:lvlText w:val=""/>
      <w:lvlJc w:val="left"/>
    </w:lvl>
    <w:lvl w:ilvl="3" w:tplc="B190766A">
      <w:numFmt w:val="decimal"/>
      <w:lvlText w:val=""/>
      <w:lvlJc w:val="left"/>
    </w:lvl>
    <w:lvl w:ilvl="4" w:tplc="1FDEF3F4">
      <w:numFmt w:val="decimal"/>
      <w:lvlText w:val=""/>
      <w:lvlJc w:val="left"/>
    </w:lvl>
    <w:lvl w:ilvl="5" w:tplc="8D428600">
      <w:numFmt w:val="decimal"/>
      <w:lvlText w:val=""/>
      <w:lvlJc w:val="left"/>
    </w:lvl>
    <w:lvl w:ilvl="6" w:tplc="1F54489E">
      <w:numFmt w:val="decimal"/>
      <w:lvlText w:val=""/>
      <w:lvlJc w:val="left"/>
    </w:lvl>
    <w:lvl w:ilvl="7" w:tplc="400ECDFE">
      <w:numFmt w:val="decimal"/>
      <w:lvlText w:val=""/>
      <w:lvlJc w:val="left"/>
    </w:lvl>
    <w:lvl w:ilvl="8" w:tplc="237255C6">
      <w:numFmt w:val="decimal"/>
      <w:lvlText w:val=""/>
      <w:lvlJc w:val="left"/>
    </w:lvl>
  </w:abstractNum>
  <w:abstractNum w:abstractNumId="5" w15:restartNumberingAfterBreak="0">
    <w:nsid w:val="687362B4"/>
    <w:multiLevelType w:val="hybridMultilevel"/>
    <w:tmpl w:val="D5CED5AC"/>
    <w:lvl w:ilvl="0" w:tplc="C75A41DC">
      <w:start w:val="1"/>
      <w:numFmt w:val="decimal"/>
      <w:lvlText w:val="%1."/>
      <w:lvlJc w:val="left"/>
      <w:pPr>
        <w:ind w:left="720" w:hanging="360"/>
      </w:pPr>
    </w:lvl>
    <w:lvl w:ilvl="1" w:tplc="1C240D84">
      <w:numFmt w:val="decimal"/>
      <w:lvlText w:val=""/>
      <w:lvlJc w:val="left"/>
    </w:lvl>
    <w:lvl w:ilvl="2" w:tplc="E8A0CD84">
      <w:numFmt w:val="decimal"/>
      <w:lvlText w:val=""/>
      <w:lvlJc w:val="left"/>
    </w:lvl>
    <w:lvl w:ilvl="3" w:tplc="F402A270">
      <w:numFmt w:val="decimal"/>
      <w:lvlText w:val=""/>
      <w:lvlJc w:val="left"/>
    </w:lvl>
    <w:lvl w:ilvl="4" w:tplc="39B066AA">
      <w:numFmt w:val="decimal"/>
      <w:lvlText w:val=""/>
      <w:lvlJc w:val="left"/>
    </w:lvl>
    <w:lvl w:ilvl="5" w:tplc="1B90D3C0">
      <w:numFmt w:val="decimal"/>
      <w:lvlText w:val=""/>
      <w:lvlJc w:val="left"/>
    </w:lvl>
    <w:lvl w:ilvl="6" w:tplc="FFE0E824">
      <w:numFmt w:val="decimal"/>
      <w:lvlText w:val=""/>
      <w:lvlJc w:val="left"/>
    </w:lvl>
    <w:lvl w:ilvl="7" w:tplc="5EAA285A">
      <w:numFmt w:val="decimal"/>
      <w:lvlText w:val=""/>
      <w:lvlJc w:val="left"/>
    </w:lvl>
    <w:lvl w:ilvl="8" w:tplc="6E9CE5F8">
      <w:numFmt w:val="decimal"/>
      <w:lvlText w:val=""/>
      <w:lvlJc w:val="left"/>
    </w:lvl>
  </w:abstractNum>
  <w:num w:numId="1" w16cid:durableId="853037962">
    <w:abstractNumId w:val="1"/>
    <w:lvlOverride w:ilvl="0">
      <w:startOverride w:val="1"/>
    </w:lvlOverride>
  </w:num>
  <w:num w:numId="2" w16cid:durableId="113603893">
    <w:abstractNumId w:val="3"/>
  </w:num>
  <w:num w:numId="3" w16cid:durableId="1408501446">
    <w:abstractNumId w:val="2"/>
  </w:num>
  <w:num w:numId="4" w16cid:durableId="201957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34E"/>
    <w:rsid w:val="0054477B"/>
    <w:rsid w:val="005B73C3"/>
    <w:rsid w:val="00BE234E"/>
    <w:rsid w:val="00E05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3C37A"/>
  <w15:docId w15:val="{9F7304CF-7079-7B40-9401-BFD0E0151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B2A4A"/>
      <w:sz w:val="32"/>
      <w:szCs w:val="32"/>
    </w:rPr>
  </w:style>
  <w:style w:type="paragraph" w:styleId="Heading2">
    <w:name w:val="heading 2"/>
    <w:uiPriority w:val="9"/>
    <w:unhideWhenUsed/>
    <w:qFormat/>
    <w:pPr>
      <w:spacing w:before="240" w:after="16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E05A48"/>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E05A48"/>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5A48"/>
    <w:rPr>
      <w:rFonts w:ascii="Courier New" w:eastAsia="Times New Roman" w:hAnsi="Courier New" w:cs="Courier New"/>
      <w:sz w:val="20"/>
      <w:szCs w:val="20"/>
    </w:rPr>
  </w:style>
  <w:style w:type="character" w:styleId="Strong">
    <w:name w:val="Strong"/>
    <w:basedOn w:val="DefaultParagraphFont"/>
    <w:uiPriority w:val="22"/>
    <w:qFormat/>
    <w:rsid w:val="00E05A48"/>
    <w:rPr>
      <w:b/>
      <w:bCs/>
    </w:rPr>
  </w:style>
  <w:style w:type="paragraph" w:styleId="HTMLPreformatted">
    <w:name w:val="HTML Preformatted"/>
    <w:basedOn w:val="Normal"/>
    <w:link w:val="HTMLPreformattedChar"/>
    <w:uiPriority w:val="99"/>
    <w:semiHidden/>
    <w:unhideWhenUsed/>
    <w:rsid w:val="00E05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5A48"/>
    <w:rPr>
      <w:rFonts w:ascii="Courier New" w:eastAsia="Times New Roman" w:hAnsi="Courier New" w:cs="Courier New"/>
      <w:sz w:val="20"/>
      <w:szCs w:val="20"/>
    </w:rPr>
  </w:style>
  <w:style w:type="character" w:customStyle="1" w:styleId="token">
    <w:name w:val="token"/>
    <w:basedOn w:val="DefaultParagraphFont"/>
    <w:rsid w:val="00E0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944</Words>
  <Characters>4962</Characters>
  <Application>Microsoft Office Word</Application>
  <DocSecurity>0</DocSecurity>
  <Lines>103</Lines>
  <Paragraphs>50</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Masoud Arouni</cp:lastModifiedBy>
  <cp:revision>3</cp:revision>
  <dcterms:created xsi:type="dcterms:W3CDTF">2026-05-20T00:01:00Z</dcterms:created>
  <dcterms:modified xsi:type="dcterms:W3CDTF">2026-05-20T21:27:00Z</dcterms:modified>
</cp:coreProperties>
</file>