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9AD1" w:sz="8"/>
              <w:left w:val="nil" w:color="000000"/>
              <w:bottom w:val="single" w:color="009AD1" w:sz="8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9AD1" w:sz="8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b w:val="true"/>
              </w:rPr>
              <w:t xml:space="preserve">Summary</w:t>
            </w:r>
          </w:p>
        </w:tc>
      </w:tr>
      <w:tr>
        <w:tc>
          <w:tcPr>
            <w:tcW w:w="4680" w:type="dxa"/>
            <w:tcBorders>
              <w:top w:val="single" w:color="009AD1" w:sz="8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N</w:t>
            </w:r>
          </w:p>
        </w:tc>
        <w:tc>
          <w:tcPr>
            <w:tcW w:w="4680" w:type="dxa"/>
            <w:tcBorders>
              <w:top w:val="single" w:color="009AD1" w:sz="8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7,353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Is pineapple on pizza acceptable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4,125 (56.1%)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yes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3,228 (43.9%)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educationally mobile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2,562 (34.8%)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yes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4,791 (65.2%)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age (categorized)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18-24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494 (6.7%)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25-49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2,706 (36.8%)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50-74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3,372 (45.9%)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&gt;75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781 (10.6%)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respondent's sex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male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3,667 (49.9%)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female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3,686 (50.1%)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read books in spare time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daily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1,569 (21.3%)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once a week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1,379 (18.8%)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once a month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1,019 (13.9%)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less often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2,122 (28.9%)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never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1,264 (17.2%)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