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01542" w14:textId="77777777" w:rsidR="00267FC2" w:rsidRPr="00C87AF0" w:rsidRDefault="00267FC2" w:rsidP="00267FC2">
      <w:pPr>
        <w:pStyle w:val="Heading4"/>
        <w:spacing w:after="0" w:afterAutospacing="0" w:line="276" w:lineRule="auto"/>
      </w:pPr>
      <w:r w:rsidRPr="00C87AF0">
        <w:t>4.4.1.1 Langmuir Isotherm</w:t>
      </w:r>
    </w:p>
    <w:p w14:paraId="504C5DEA" w14:textId="77777777" w:rsidR="00267FC2" w:rsidRPr="00C87AF0" w:rsidRDefault="00267FC2" w:rsidP="00267FC2">
      <w:pPr>
        <w:spacing w:before="100" w:beforeAutospacing="1" w:after="100" w:afterAutospacing="1" w:line="276" w:lineRule="auto"/>
        <w:rPr>
          <w:rFonts w:eastAsia="Times New Roman" w:cs="Times New Roman"/>
          <w:szCs w:val="24"/>
        </w:rPr>
      </w:pPr>
      <w:r w:rsidRPr="00C87AF0">
        <w:rPr>
          <w:rFonts w:eastAsia="Times New Roman" w:cs="Times New Roman"/>
          <w:szCs w:val="24"/>
        </w:rPr>
        <w:t>The Langmuir isotherm model describes adsorption onto a surface with a finite number of identical sites, assuming that all sites have equal energy and no interactions between adsorbed molecules. The model is represented by the following equation:</w:t>
      </w:r>
    </w:p>
    <w:p w14:paraId="1CBBCB27" w14:textId="77777777" w:rsidR="00267FC2" w:rsidRPr="00C87AF0" w:rsidRDefault="00267FC2" w:rsidP="00267FC2">
      <w:pPr>
        <w:spacing w:before="100" w:beforeAutospacing="1" w:after="100" w:afterAutospacing="1" w:line="276" w:lineRule="auto"/>
        <w:rPr>
          <w:rFonts w:cs="Times New Roman"/>
          <w:szCs w:val="24"/>
        </w:rPr>
      </w:pPr>
      <w:r w:rsidRPr="00C87AF0">
        <w:rPr>
          <w:rFonts w:eastAsia="Times New Roman" w:cs="Times New Roman"/>
          <w:szCs w:val="24"/>
        </w:rPr>
        <w:t xml:space="preserve">The data collected for Methylene Blue adsorption at different equilibrium concentrations are shown in table 4.3 and 4.4 and 4.5 </w:t>
      </w:r>
      <w:r w:rsidRPr="00C87AF0">
        <w:rPr>
          <w:rFonts w:cs="Times New Roman"/>
          <w:szCs w:val="24"/>
        </w:rPr>
        <w:t xml:space="preserve">parameters for analyzing the adsorption of Methylene Blue (MB) for Langmuir, </w:t>
      </w:r>
      <w:proofErr w:type="spellStart"/>
      <w:r w:rsidRPr="00C87AF0">
        <w:rPr>
          <w:rFonts w:cs="Times New Roman"/>
          <w:szCs w:val="24"/>
        </w:rPr>
        <w:t>freundlich</w:t>
      </w:r>
      <w:proofErr w:type="spellEnd"/>
      <w:r w:rsidRPr="00C87AF0">
        <w:rPr>
          <w:rFonts w:cs="Times New Roman"/>
          <w:szCs w:val="24"/>
        </w:rPr>
        <w:t xml:space="preserve"> and </w:t>
      </w:r>
      <w:proofErr w:type="spellStart"/>
      <w:r w:rsidRPr="00C87AF0">
        <w:rPr>
          <w:rFonts w:cs="Times New Roman"/>
          <w:szCs w:val="24"/>
        </w:rPr>
        <w:t>temkin</w:t>
      </w:r>
      <w:proofErr w:type="spellEnd"/>
      <w:r w:rsidRPr="00C87AF0">
        <w:rPr>
          <w:rFonts w:cs="Times New Roman"/>
          <w:szCs w:val="24"/>
        </w:rPr>
        <w:t xml:space="preserve"> isotherm model respectively.</w:t>
      </w:r>
    </w:p>
    <w:p w14:paraId="6B6D5548" w14:textId="77777777" w:rsidR="00267FC2" w:rsidRDefault="00267FC2" w:rsidP="00267FC2">
      <w:pPr>
        <w:pStyle w:val="Caption"/>
        <w:keepNext/>
        <w:spacing w:after="0" w:line="276" w:lineRule="auto"/>
        <w:rPr>
          <w:rFonts w:cs="Times New Roman"/>
          <w:szCs w:val="24"/>
        </w:rPr>
      </w:pPr>
      <w:bookmarkStart w:id="0" w:name="_Toc180056589"/>
      <w:r w:rsidRPr="00453381">
        <w:rPr>
          <w:rFonts w:cs="Times New Roman"/>
          <w:b/>
        </w:rPr>
        <w:t xml:space="preserve">Table 4. </w:t>
      </w:r>
      <w:r w:rsidRPr="00453381">
        <w:rPr>
          <w:rFonts w:cs="Times New Roman"/>
          <w:b/>
        </w:rPr>
        <w:fldChar w:fldCharType="begin"/>
      </w:r>
      <w:r w:rsidRPr="00453381">
        <w:rPr>
          <w:rFonts w:cs="Times New Roman"/>
          <w:b/>
        </w:rPr>
        <w:instrText xml:space="preserve"> SEQ Table_4. \* ARABIC </w:instrText>
      </w:r>
      <w:r w:rsidRPr="00453381">
        <w:rPr>
          <w:rFonts w:cs="Times New Roman"/>
          <w:b/>
        </w:rPr>
        <w:fldChar w:fldCharType="separate"/>
      </w:r>
      <w:r w:rsidRPr="00453381">
        <w:rPr>
          <w:rFonts w:cs="Times New Roman"/>
          <w:b/>
          <w:noProof/>
        </w:rPr>
        <w:t>3</w:t>
      </w:r>
      <w:r w:rsidRPr="00453381">
        <w:rPr>
          <w:rFonts w:cs="Times New Roman"/>
          <w:b/>
        </w:rPr>
        <w:fldChar w:fldCharType="end"/>
      </w:r>
      <w:r w:rsidRPr="00453381">
        <w:rPr>
          <w:rFonts w:cs="Times New Roman"/>
          <w:b/>
        </w:rPr>
        <w:t xml:space="preserve">: </w:t>
      </w:r>
      <w:r w:rsidRPr="00DB7246">
        <w:rPr>
          <w:rFonts w:cs="Times New Roman"/>
          <w:szCs w:val="24"/>
        </w:rPr>
        <w:t>parameters for analyzing the adsorption of Methylene Blue (MB) for Langmuir isotherm model</w:t>
      </w:r>
      <w:bookmarkEnd w:id="0"/>
    </w:p>
    <w:p w14:paraId="5C6D9B3F" w14:textId="77777777" w:rsidR="00267FC2" w:rsidRPr="00DB7246" w:rsidRDefault="00267FC2" w:rsidP="00267FC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9"/>
        <w:gridCol w:w="2261"/>
        <w:gridCol w:w="2252"/>
        <w:gridCol w:w="2254"/>
      </w:tblGrid>
      <w:tr w:rsidR="00267FC2" w:rsidRPr="00C87AF0" w14:paraId="5BEDCC12" w14:textId="77777777" w:rsidTr="00AE6801">
        <w:tc>
          <w:tcPr>
            <w:tcW w:w="2337" w:type="dxa"/>
            <w:tcBorders>
              <w:top w:val="single" w:sz="4" w:space="0" w:color="auto"/>
              <w:bottom w:val="single" w:sz="4" w:space="0" w:color="auto"/>
            </w:tcBorders>
            <w:vAlign w:val="center"/>
            <w:hideMark/>
          </w:tcPr>
          <w:p w14:paraId="73E9B5E5" w14:textId="77777777" w:rsidR="00267FC2" w:rsidRPr="00C87AF0" w:rsidRDefault="00267FC2" w:rsidP="00AE6801">
            <w:pPr>
              <w:spacing w:line="276" w:lineRule="auto"/>
              <w:rPr>
                <w:rFonts w:eastAsia="Times New Roman" w:cs="Times New Roman"/>
                <w:b/>
                <w:bCs/>
                <w:szCs w:val="24"/>
              </w:rPr>
            </w:pPr>
            <m:oMathPara>
              <m:oMath>
                <m:r>
                  <m:rPr>
                    <m:sty m:val="bi"/>
                  </m:rPr>
                  <w:rPr>
                    <w:rFonts w:ascii="Cambria Math" w:eastAsia="Times New Roman" w:hAnsi="Cambria Math" w:cs="Times New Roman"/>
                    <w:szCs w:val="24"/>
                  </w:rPr>
                  <m:t>Ce (mg/L)</m:t>
                </m:r>
              </m:oMath>
            </m:oMathPara>
          </w:p>
        </w:tc>
        <w:tc>
          <w:tcPr>
            <w:tcW w:w="2337" w:type="dxa"/>
            <w:tcBorders>
              <w:top w:val="single" w:sz="4" w:space="0" w:color="auto"/>
              <w:bottom w:val="single" w:sz="4" w:space="0" w:color="auto"/>
            </w:tcBorders>
            <w:vAlign w:val="center"/>
            <w:hideMark/>
          </w:tcPr>
          <w:p w14:paraId="67F4159D" w14:textId="77777777" w:rsidR="00267FC2" w:rsidRPr="00C87AF0" w:rsidRDefault="00267FC2" w:rsidP="00AE6801">
            <w:pPr>
              <w:spacing w:line="276" w:lineRule="auto"/>
              <w:rPr>
                <w:rFonts w:eastAsia="Times New Roman" w:cs="Times New Roman"/>
                <w:b/>
                <w:bCs/>
                <w:szCs w:val="24"/>
              </w:rPr>
            </w:pPr>
            <m:oMathPara>
              <m:oMath>
                <m:r>
                  <m:rPr>
                    <m:sty m:val="bi"/>
                  </m:rPr>
                  <w:rPr>
                    <w:rFonts w:ascii="Cambria Math" w:eastAsia="Times New Roman" w:hAnsi="Cambria Math" w:cs="Times New Roman"/>
                    <w:szCs w:val="24"/>
                  </w:rPr>
                  <m:t>Qe (mg/g)</m:t>
                </m:r>
              </m:oMath>
            </m:oMathPara>
          </w:p>
        </w:tc>
        <w:tc>
          <w:tcPr>
            <w:tcW w:w="2338" w:type="dxa"/>
            <w:tcBorders>
              <w:top w:val="single" w:sz="4" w:space="0" w:color="auto"/>
              <w:bottom w:val="single" w:sz="4" w:space="0" w:color="auto"/>
            </w:tcBorders>
            <w:vAlign w:val="center"/>
            <w:hideMark/>
          </w:tcPr>
          <w:p w14:paraId="19EE18F4" w14:textId="77777777" w:rsidR="00267FC2" w:rsidRPr="00C87AF0" w:rsidRDefault="00267FC2" w:rsidP="00AE6801">
            <w:pPr>
              <w:spacing w:line="276" w:lineRule="auto"/>
              <w:rPr>
                <w:rFonts w:eastAsia="Times New Roman" w:cs="Times New Roman"/>
                <w:b/>
                <w:bCs/>
                <w:szCs w:val="24"/>
              </w:rPr>
            </w:pPr>
            <m:oMathPara>
              <m:oMath>
                <m:r>
                  <m:rPr>
                    <m:sty m:val="bi"/>
                  </m:rPr>
                  <w:rPr>
                    <w:rFonts w:ascii="Cambria Math" w:eastAsia="Times New Roman" w:hAnsi="Cambria Math" w:cs="Times New Roman"/>
                    <w:szCs w:val="24"/>
                  </w:rPr>
                  <m:t>1/Ce​ (L/mg)</m:t>
                </m:r>
              </m:oMath>
            </m:oMathPara>
          </w:p>
        </w:tc>
        <w:tc>
          <w:tcPr>
            <w:tcW w:w="2338" w:type="dxa"/>
            <w:tcBorders>
              <w:top w:val="single" w:sz="4" w:space="0" w:color="auto"/>
              <w:bottom w:val="single" w:sz="4" w:space="0" w:color="auto"/>
            </w:tcBorders>
            <w:vAlign w:val="center"/>
            <w:hideMark/>
          </w:tcPr>
          <w:p w14:paraId="5E401837" w14:textId="77777777" w:rsidR="00267FC2" w:rsidRPr="00C87AF0" w:rsidRDefault="00267FC2" w:rsidP="00AE6801">
            <w:pPr>
              <w:spacing w:line="276" w:lineRule="auto"/>
              <w:rPr>
                <w:rFonts w:eastAsia="Times New Roman" w:cs="Times New Roman"/>
                <w:b/>
                <w:bCs/>
                <w:szCs w:val="24"/>
              </w:rPr>
            </w:pPr>
            <m:oMathPara>
              <m:oMath>
                <m:r>
                  <m:rPr>
                    <m:sty m:val="bi"/>
                  </m:rPr>
                  <w:rPr>
                    <w:rFonts w:ascii="Cambria Math" w:eastAsia="Times New Roman" w:hAnsi="Cambria Math" w:cs="Times New Roman"/>
                    <w:szCs w:val="24"/>
                  </w:rPr>
                  <m:t>1/qe​ (g/mg)</m:t>
                </m:r>
              </m:oMath>
            </m:oMathPara>
          </w:p>
        </w:tc>
      </w:tr>
      <w:tr w:rsidR="00267FC2" w:rsidRPr="00C87AF0" w14:paraId="0BE6811A" w14:textId="77777777" w:rsidTr="00AE6801">
        <w:tc>
          <w:tcPr>
            <w:tcW w:w="2337" w:type="dxa"/>
            <w:tcBorders>
              <w:top w:val="single" w:sz="4" w:space="0" w:color="auto"/>
            </w:tcBorders>
            <w:vAlign w:val="center"/>
            <w:hideMark/>
          </w:tcPr>
          <w:p w14:paraId="4CBAC36D"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7.26</w:t>
            </w:r>
          </w:p>
        </w:tc>
        <w:tc>
          <w:tcPr>
            <w:tcW w:w="2337" w:type="dxa"/>
            <w:tcBorders>
              <w:top w:val="single" w:sz="4" w:space="0" w:color="auto"/>
            </w:tcBorders>
            <w:vAlign w:val="center"/>
            <w:hideMark/>
          </w:tcPr>
          <w:p w14:paraId="33E81439"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1.37</w:t>
            </w:r>
          </w:p>
        </w:tc>
        <w:tc>
          <w:tcPr>
            <w:tcW w:w="2338" w:type="dxa"/>
            <w:tcBorders>
              <w:top w:val="single" w:sz="4" w:space="0" w:color="auto"/>
            </w:tcBorders>
            <w:vAlign w:val="center"/>
            <w:hideMark/>
          </w:tcPr>
          <w:p w14:paraId="695CB090"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0.137</w:t>
            </w:r>
          </w:p>
        </w:tc>
        <w:tc>
          <w:tcPr>
            <w:tcW w:w="2338" w:type="dxa"/>
            <w:tcBorders>
              <w:top w:val="single" w:sz="4" w:space="0" w:color="auto"/>
            </w:tcBorders>
            <w:vAlign w:val="center"/>
            <w:hideMark/>
          </w:tcPr>
          <w:p w14:paraId="23EE66B2"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0.729</w:t>
            </w:r>
          </w:p>
        </w:tc>
      </w:tr>
      <w:tr w:rsidR="00267FC2" w:rsidRPr="00C87AF0" w14:paraId="281A7BAA" w14:textId="77777777" w:rsidTr="00AE6801">
        <w:tc>
          <w:tcPr>
            <w:tcW w:w="2337" w:type="dxa"/>
            <w:vAlign w:val="center"/>
            <w:hideMark/>
          </w:tcPr>
          <w:p w14:paraId="24F36C08"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10.24</w:t>
            </w:r>
          </w:p>
        </w:tc>
        <w:tc>
          <w:tcPr>
            <w:tcW w:w="2337" w:type="dxa"/>
            <w:vAlign w:val="center"/>
            <w:hideMark/>
          </w:tcPr>
          <w:p w14:paraId="2984417B"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2.38</w:t>
            </w:r>
          </w:p>
        </w:tc>
        <w:tc>
          <w:tcPr>
            <w:tcW w:w="2338" w:type="dxa"/>
            <w:vAlign w:val="center"/>
            <w:hideMark/>
          </w:tcPr>
          <w:p w14:paraId="51D0C59A"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0.098</w:t>
            </w:r>
          </w:p>
        </w:tc>
        <w:tc>
          <w:tcPr>
            <w:tcW w:w="2338" w:type="dxa"/>
            <w:vAlign w:val="center"/>
            <w:hideMark/>
          </w:tcPr>
          <w:p w14:paraId="51398E72"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0.420</w:t>
            </w:r>
          </w:p>
        </w:tc>
      </w:tr>
      <w:tr w:rsidR="00267FC2" w:rsidRPr="00C87AF0" w14:paraId="57D19A28" w14:textId="77777777" w:rsidTr="00AE6801">
        <w:tc>
          <w:tcPr>
            <w:tcW w:w="2337" w:type="dxa"/>
            <w:vAlign w:val="center"/>
            <w:hideMark/>
          </w:tcPr>
          <w:p w14:paraId="1B06F0D7"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9.38</w:t>
            </w:r>
          </w:p>
        </w:tc>
        <w:tc>
          <w:tcPr>
            <w:tcW w:w="2337" w:type="dxa"/>
            <w:vAlign w:val="center"/>
            <w:hideMark/>
          </w:tcPr>
          <w:p w14:paraId="745237E7"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5.31</w:t>
            </w:r>
          </w:p>
        </w:tc>
        <w:tc>
          <w:tcPr>
            <w:tcW w:w="2338" w:type="dxa"/>
            <w:vAlign w:val="center"/>
            <w:hideMark/>
          </w:tcPr>
          <w:p w14:paraId="113783EB"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0.107</w:t>
            </w:r>
          </w:p>
        </w:tc>
        <w:tc>
          <w:tcPr>
            <w:tcW w:w="2338" w:type="dxa"/>
            <w:vAlign w:val="center"/>
            <w:hideMark/>
          </w:tcPr>
          <w:p w14:paraId="19CC9089"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0.188</w:t>
            </w:r>
          </w:p>
        </w:tc>
      </w:tr>
      <w:tr w:rsidR="00267FC2" w:rsidRPr="00C87AF0" w14:paraId="77EC24B5" w14:textId="77777777" w:rsidTr="00AE6801">
        <w:tc>
          <w:tcPr>
            <w:tcW w:w="2337" w:type="dxa"/>
            <w:vAlign w:val="center"/>
            <w:hideMark/>
          </w:tcPr>
          <w:p w14:paraId="1F13C7D3"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16.22</w:t>
            </w:r>
          </w:p>
        </w:tc>
        <w:tc>
          <w:tcPr>
            <w:tcW w:w="2337" w:type="dxa"/>
            <w:vAlign w:val="center"/>
            <w:hideMark/>
          </w:tcPr>
          <w:p w14:paraId="54E5B494"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4.39</w:t>
            </w:r>
          </w:p>
        </w:tc>
        <w:tc>
          <w:tcPr>
            <w:tcW w:w="2338" w:type="dxa"/>
            <w:vAlign w:val="center"/>
            <w:hideMark/>
          </w:tcPr>
          <w:p w14:paraId="0B4D842F"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0.061</w:t>
            </w:r>
          </w:p>
        </w:tc>
        <w:tc>
          <w:tcPr>
            <w:tcW w:w="2338" w:type="dxa"/>
            <w:vAlign w:val="center"/>
            <w:hideMark/>
          </w:tcPr>
          <w:p w14:paraId="37D4C090"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0.228</w:t>
            </w:r>
          </w:p>
        </w:tc>
      </w:tr>
      <w:tr w:rsidR="00267FC2" w:rsidRPr="00C87AF0" w14:paraId="781464F8" w14:textId="77777777" w:rsidTr="00AE6801">
        <w:tc>
          <w:tcPr>
            <w:tcW w:w="2337" w:type="dxa"/>
            <w:vAlign w:val="center"/>
            <w:hideMark/>
          </w:tcPr>
          <w:p w14:paraId="39493023"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14.63</w:t>
            </w:r>
          </w:p>
        </w:tc>
        <w:tc>
          <w:tcPr>
            <w:tcW w:w="2337" w:type="dxa"/>
            <w:vAlign w:val="center"/>
            <w:hideMark/>
          </w:tcPr>
          <w:p w14:paraId="47C87645"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7.69</w:t>
            </w:r>
          </w:p>
        </w:tc>
        <w:tc>
          <w:tcPr>
            <w:tcW w:w="2338" w:type="dxa"/>
            <w:vAlign w:val="center"/>
            <w:hideMark/>
          </w:tcPr>
          <w:p w14:paraId="706E20D0"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0.068</w:t>
            </w:r>
          </w:p>
        </w:tc>
        <w:tc>
          <w:tcPr>
            <w:tcW w:w="2338" w:type="dxa"/>
            <w:vAlign w:val="center"/>
            <w:hideMark/>
          </w:tcPr>
          <w:p w14:paraId="4BEDAD0B"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0.130</w:t>
            </w:r>
          </w:p>
        </w:tc>
      </w:tr>
      <w:tr w:rsidR="00267FC2" w:rsidRPr="00C87AF0" w14:paraId="0199B1F8" w14:textId="77777777" w:rsidTr="00AE6801">
        <w:tc>
          <w:tcPr>
            <w:tcW w:w="2337" w:type="dxa"/>
            <w:vAlign w:val="center"/>
            <w:hideMark/>
          </w:tcPr>
          <w:p w14:paraId="41728677"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19.11</w:t>
            </w:r>
          </w:p>
        </w:tc>
        <w:tc>
          <w:tcPr>
            <w:tcW w:w="2337" w:type="dxa"/>
            <w:vAlign w:val="center"/>
            <w:hideMark/>
          </w:tcPr>
          <w:p w14:paraId="619D4D2F"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7.95</w:t>
            </w:r>
          </w:p>
        </w:tc>
        <w:tc>
          <w:tcPr>
            <w:tcW w:w="2338" w:type="dxa"/>
            <w:vAlign w:val="center"/>
            <w:hideMark/>
          </w:tcPr>
          <w:p w14:paraId="6AA6E8A0"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0.052</w:t>
            </w:r>
          </w:p>
        </w:tc>
        <w:tc>
          <w:tcPr>
            <w:tcW w:w="2338" w:type="dxa"/>
            <w:vAlign w:val="center"/>
            <w:hideMark/>
          </w:tcPr>
          <w:p w14:paraId="20373930"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0.126</w:t>
            </w:r>
          </w:p>
        </w:tc>
      </w:tr>
      <w:tr w:rsidR="00267FC2" w:rsidRPr="00C87AF0" w14:paraId="1111E08D" w14:textId="77777777" w:rsidTr="00AE6801">
        <w:tc>
          <w:tcPr>
            <w:tcW w:w="2337" w:type="dxa"/>
            <w:vAlign w:val="center"/>
            <w:hideMark/>
          </w:tcPr>
          <w:p w14:paraId="004D2E2C"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20.72</w:t>
            </w:r>
          </w:p>
        </w:tc>
        <w:tc>
          <w:tcPr>
            <w:tcW w:w="2337" w:type="dxa"/>
            <w:vAlign w:val="center"/>
            <w:hideMark/>
          </w:tcPr>
          <w:p w14:paraId="2BF0EE82"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9.64</w:t>
            </w:r>
          </w:p>
        </w:tc>
        <w:tc>
          <w:tcPr>
            <w:tcW w:w="2338" w:type="dxa"/>
            <w:vAlign w:val="center"/>
            <w:hideMark/>
          </w:tcPr>
          <w:p w14:paraId="54FAA9C2"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0.048</w:t>
            </w:r>
          </w:p>
        </w:tc>
        <w:tc>
          <w:tcPr>
            <w:tcW w:w="2338" w:type="dxa"/>
            <w:vAlign w:val="center"/>
            <w:hideMark/>
          </w:tcPr>
          <w:p w14:paraId="2F4F5237"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0.104</w:t>
            </w:r>
          </w:p>
        </w:tc>
      </w:tr>
      <w:tr w:rsidR="00267FC2" w:rsidRPr="00C87AF0" w14:paraId="4CB1CB02" w14:textId="77777777" w:rsidTr="00AE6801">
        <w:tc>
          <w:tcPr>
            <w:tcW w:w="2337" w:type="dxa"/>
            <w:vAlign w:val="center"/>
            <w:hideMark/>
          </w:tcPr>
          <w:p w14:paraId="75E02928"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21.24</w:t>
            </w:r>
          </w:p>
        </w:tc>
        <w:tc>
          <w:tcPr>
            <w:tcW w:w="2337" w:type="dxa"/>
            <w:vAlign w:val="center"/>
            <w:hideMark/>
          </w:tcPr>
          <w:p w14:paraId="3397DC9E"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14.38</w:t>
            </w:r>
          </w:p>
        </w:tc>
        <w:tc>
          <w:tcPr>
            <w:tcW w:w="2338" w:type="dxa"/>
            <w:vAlign w:val="center"/>
            <w:hideMark/>
          </w:tcPr>
          <w:p w14:paraId="63F76141"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0.047</w:t>
            </w:r>
          </w:p>
        </w:tc>
        <w:tc>
          <w:tcPr>
            <w:tcW w:w="2338" w:type="dxa"/>
            <w:vAlign w:val="center"/>
            <w:hideMark/>
          </w:tcPr>
          <w:p w14:paraId="245ADBDF"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0.069</w:t>
            </w:r>
          </w:p>
        </w:tc>
      </w:tr>
    </w:tbl>
    <w:p w14:paraId="5BC5F320" w14:textId="77777777" w:rsidR="00267FC2" w:rsidRPr="00C87AF0" w:rsidRDefault="00267FC2" w:rsidP="00267FC2">
      <w:pPr>
        <w:spacing w:before="100" w:beforeAutospacing="1" w:after="100" w:afterAutospacing="1" w:line="276" w:lineRule="auto"/>
        <w:rPr>
          <w:rFonts w:cs="Times New Roman"/>
        </w:rPr>
      </w:pPr>
      <w:r w:rsidRPr="00C87AF0">
        <w:rPr>
          <w:rFonts w:cs="Times New Roman"/>
        </w:rPr>
        <w:t xml:space="preserve">The table 4.3 presents data on the adsorption process, illustrating the relationship between equilibrium concentration </w:t>
      </w:r>
      <m:oMath>
        <m:r>
          <w:rPr>
            <w:rFonts w:ascii="Cambria Math" w:hAnsi="Cambria Math" w:cs="Times New Roman"/>
          </w:rPr>
          <m:t>(</m:t>
        </m:r>
        <m:r>
          <w:rPr>
            <w:rStyle w:val="katex-mathml"/>
            <w:rFonts w:ascii="Cambria Math" w:hAnsi="Cambria Math" w:cs="Times New Roman"/>
          </w:rPr>
          <m:t>Ce</m:t>
        </m:r>
        <m:r>
          <w:rPr>
            <w:rStyle w:val="vlist-s"/>
            <w:rFonts w:ascii="Cambria Math" w:hAnsi="Cambria Math" w:cs="Times New Roman"/>
          </w:rPr>
          <m:t>​</m:t>
        </m:r>
        <m:r>
          <w:rPr>
            <w:rFonts w:ascii="Cambria Math" w:hAnsi="Cambria Math" w:cs="Times New Roman"/>
          </w:rPr>
          <m:t>),</m:t>
        </m:r>
      </m:oMath>
      <w:r w:rsidRPr="00C87AF0">
        <w:rPr>
          <w:rFonts w:cs="Times New Roman"/>
        </w:rPr>
        <w:t xml:space="preserve"> adsorption capacity </w:t>
      </w:r>
      <m:oMath>
        <m:r>
          <w:rPr>
            <w:rFonts w:ascii="Cambria Math" w:hAnsi="Cambria Math" w:cs="Times New Roman"/>
          </w:rPr>
          <m:t>(</m:t>
        </m:r>
        <m:r>
          <w:rPr>
            <w:rStyle w:val="katex-mathml"/>
            <w:rFonts w:ascii="Cambria Math" w:hAnsi="Cambria Math" w:cs="Times New Roman"/>
          </w:rPr>
          <m:t>Qe</m:t>
        </m:r>
        <m:r>
          <w:rPr>
            <w:rStyle w:val="vlist-s"/>
            <w:rFonts w:ascii="Cambria Math" w:hAnsi="Cambria Math" w:cs="Times New Roman"/>
          </w:rPr>
          <m:t>​</m:t>
        </m:r>
        <m:r>
          <w:rPr>
            <w:rFonts w:ascii="Cambria Math" w:hAnsi="Cambria Math" w:cs="Times New Roman"/>
          </w:rPr>
          <m:t>),</m:t>
        </m:r>
      </m:oMath>
      <w:r w:rsidRPr="00C87AF0">
        <w:rPr>
          <w:rFonts w:cs="Times New Roman"/>
        </w:rPr>
        <w:t xml:space="preserve"> and their reciprocal values. It lists </w:t>
      </w:r>
      <m:oMath>
        <m:r>
          <w:rPr>
            <w:rStyle w:val="katex-mathml"/>
            <w:rFonts w:ascii="Cambria Math" w:hAnsi="Cambria Math" w:cs="Times New Roman"/>
          </w:rPr>
          <m:t>Ce</m:t>
        </m:r>
        <m:r>
          <w:rPr>
            <w:rStyle w:val="vlist-s"/>
            <w:rFonts w:ascii="Cambria Math" w:hAnsi="Cambria Math" w:cs="Times New Roman"/>
          </w:rPr>
          <m:t>​</m:t>
        </m:r>
      </m:oMath>
      <w:r w:rsidRPr="00C87AF0">
        <w:rPr>
          <w:rFonts w:cs="Times New Roman"/>
        </w:rPr>
        <w:t xml:space="preserve"> ranging from 7.26 mg/L to 21.24 mg/L and </w:t>
      </w:r>
      <w:proofErr w:type="spellStart"/>
      <w:r w:rsidRPr="00C87AF0">
        <w:rPr>
          <w:rStyle w:val="katex-mathml"/>
          <w:rFonts w:cs="Times New Roman"/>
        </w:rPr>
        <w:t>Qe</w:t>
      </w:r>
      <w:proofErr w:type="spellEnd"/>
      <w:r w:rsidRPr="00C87AF0">
        <w:rPr>
          <w:rStyle w:val="vlist-s"/>
          <w:rFonts w:cs="Times New Roman"/>
        </w:rPr>
        <w:t>​</w:t>
      </w:r>
      <w:r w:rsidRPr="00C87AF0">
        <w:rPr>
          <w:rFonts w:cs="Times New Roman"/>
        </w:rPr>
        <w:t xml:space="preserve"> values from 1.37 mg/g to 14.38 mg/g, indicating varying effectiveness of the adsorbent in capturing the target compound. The </w:t>
      </w:r>
      <w:r w:rsidRPr="00C87AF0">
        <w:rPr>
          <w:rStyle w:val="katex-mathml"/>
          <w:rFonts w:cs="Times New Roman"/>
        </w:rPr>
        <w:t xml:space="preserve">1/Ce </w:t>
      </w:r>
      <w:r w:rsidRPr="00C87AF0">
        <w:rPr>
          <w:rFonts w:cs="Times New Roman"/>
        </w:rPr>
        <w:t xml:space="preserve">values, which decrease as </w:t>
      </w:r>
      <w:r w:rsidRPr="00C87AF0">
        <w:rPr>
          <w:rStyle w:val="katex-mathml"/>
          <w:rFonts w:cs="Times New Roman"/>
        </w:rPr>
        <w:t xml:space="preserve">Ce </w:t>
      </w:r>
      <w:r w:rsidRPr="00C87AF0">
        <w:rPr>
          <w:rFonts w:cs="Times New Roman"/>
        </w:rPr>
        <w:t xml:space="preserve">increases, provide insights into adsorption efficiency, while the </w:t>
      </w:r>
      <w:r w:rsidRPr="00C87AF0">
        <w:rPr>
          <w:rStyle w:val="katex-mathml"/>
          <w:rFonts w:cs="Times New Roman"/>
        </w:rPr>
        <w:t>1/</w:t>
      </w:r>
      <w:proofErr w:type="spellStart"/>
      <w:r w:rsidRPr="00C87AF0">
        <w:rPr>
          <w:rStyle w:val="katex-mathml"/>
          <w:rFonts w:cs="Times New Roman"/>
        </w:rPr>
        <w:t>Qe</w:t>
      </w:r>
      <w:proofErr w:type="spellEnd"/>
      <w:r w:rsidRPr="00C87AF0">
        <w:rPr>
          <w:rStyle w:val="vlist-s"/>
          <w:rFonts w:cs="Times New Roman"/>
        </w:rPr>
        <w:t>​</w:t>
      </w:r>
      <w:r w:rsidRPr="00C87AF0">
        <w:rPr>
          <w:rFonts w:cs="Times New Roman"/>
        </w:rPr>
        <w:t xml:space="preserve"> values range from 0.069 g/mg to 0.729 g/mg, suggesting a correlation between lower adsorption capacities and higher equilibrium concentrations.</w:t>
      </w:r>
    </w:p>
    <w:p w14:paraId="540D05F0" w14:textId="77777777" w:rsidR="00267FC2" w:rsidRPr="00C87AF0" w:rsidRDefault="00267FC2" w:rsidP="00267FC2">
      <w:pPr>
        <w:spacing w:before="100" w:beforeAutospacing="1" w:after="0" w:line="276" w:lineRule="auto"/>
        <w:rPr>
          <w:rFonts w:cs="Times New Roman"/>
        </w:rPr>
      </w:pPr>
      <w:r w:rsidRPr="00C87AF0">
        <w:rPr>
          <w:rFonts w:cs="Times New Roman"/>
          <w:noProof/>
        </w:rPr>
        <w:lastRenderedPageBreak/>
        <w:drawing>
          <wp:inline distT="0" distB="0" distL="0" distR="0" wp14:anchorId="2EDE9A5D" wp14:editId="2CD4B9AD">
            <wp:extent cx="5941060" cy="293403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63435" cy="2945081"/>
                    </a:xfrm>
                    <a:prstGeom prst="rect">
                      <a:avLst/>
                    </a:prstGeom>
                    <a:noFill/>
                    <a:ln>
                      <a:noFill/>
                    </a:ln>
                  </pic:spPr>
                </pic:pic>
              </a:graphicData>
            </a:graphic>
          </wp:inline>
        </w:drawing>
      </w:r>
    </w:p>
    <w:p w14:paraId="12A9B6EF" w14:textId="77777777" w:rsidR="00267FC2" w:rsidRPr="00C87AF0" w:rsidRDefault="00267FC2" w:rsidP="00267FC2">
      <w:pPr>
        <w:pStyle w:val="Caption"/>
        <w:tabs>
          <w:tab w:val="left" w:pos="2517"/>
          <w:tab w:val="center" w:pos="4680"/>
        </w:tabs>
        <w:spacing w:line="276" w:lineRule="auto"/>
        <w:jc w:val="left"/>
        <w:rPr>
          <w:rFonts w:eastAsia="Times New Roman" w:cs="Times New Roman"/>
          <w:b/>
          <w:bCs/>
          <w:sz w:val="27"/>
          <w:szCs w:val="27"/>
        </w:rPr>
      </w:pPr>
      <w:r>
        <w:rPr>
          <w:rFonts w:cs="Times New Roman"/>
        </w:rPr>
        <w:tab/>
      </w:r>
      <w:r>
        <w:rPr>
          <w:rFonts w:cs="Times New Roman"/>
        </w:rPr>
        <w:tab/>
      </w:r>
      <w:bookmarkStart w:id="1" w:name="_Toc180144712"/>
      <w:r>
        <w:rPr>
          <w:rFonts w:cs="Times New Roman"/>
          <w:b/>
        </w:rPr>
        <w:t>Figure 4.</w:t>
      </w:r>
      <w:r w:rsidRPr="00453381">
        <w:rPr>
          <w:rFonts w:cs="Times New Roman"/>
          <w:b/>
        </w:rPr>
        <w:fldChar w:fldCharType="begin"/>
      </w:r>
      <w:r w:rsidRPr="00453381">
        <w:rPr>
          <w:rFonts w:cs="Times New Roman"/>
          <w:b/>
        </w:rPr>
        <w:instrText xml:space="preserve"> SEQ Figure_4. \* ARABIC </w:instrText>
      </w:r>
      <w:r w:rsidRPr="00453381">
        <w:rPr>
          <w:rFonts w:cs="Times New Roman"/>
          <w:b/>
        </w:rPr>
        <w:fldChar w:fldCharType="separate"/>
      </w:r>
      <w:r w:rsidRPr="00453381">
        <w:rPr>
          <w:rFonts w:cs="Times New Roman"/>
          <w:b/>
          <w:noProof/>
        </w:rPr>
        <w:t>7</w:t>
      </w:r>
      <w:r w:rsidRPr="00453381">
        <w:rPr>
          <w:rFonts w:cs="Times New Roman"/>
          <w:b/>
        </w:rPr>
        <w:fldChar w:fldCharType="end"/>
      </w:r>
      <w:r w:rsidRPr="00453381">
        <w:rPr>
          <w:rFonts w:cs="Times New Roman"/>
          <w:b/>
          <w:szCs w:val="24"/>
        </w:rPr>
        <w:t>:</w:t>
      </w:r>
      <w:r w:rsidRPr="00C87AF0">
        <w:rPr>
          <w:rFonts w:cs="Times New Roman"/>
          <w:szCs w:val="24"/>
        </w:rPr>
        <w:t xml:space="preserve"> Langmuir isotherm model plot</w:t>
      </w:r>
      <w:bookmarkEnd w:id="1"/>
    </w:p>
    <w:p w14:paraId="13DBB423" w14:textId="77777777" w:rsidR="00267FC2" w:rsidRPr="00C87AF0" w:rsidRDefault="00267FC2" w:rsidP="00267FC2">
      <w:pPr>
        <w:spacing w:before="100" w:beforeAutospacing="1" w:after="100" w:afterAutospacing="1" w:line="276" w:lineRule="auto"/>
        <w:rPr>
          <w:rFonts w:cs="Times New Roman"/>
        </w:rPr>
      </w:pPr>
      <w:r w:rsidRPr="00C87AF0">
        <w:rPr>
          <w:rFonts w:cs="Times New Roman"/>
        </w:rPr>
        <w:t xml:space="preserve">Using the linearized Langmuir isotherm equation, the slope </w:t>
      </w:r>
      <m:oMath>
        <m:r>
          <w:rPr>
            <w:rFonts w:ascii="Cambria Math" w:hAnsi="Cambria Math" w:cs="Times New Roman"/>
          </w:rPr>
          <m:t>(S)</m:t>
        </m:r>
      </m:oMath>
      <w:r w:rsidRPr="00C87AF0">
        <w:rPr>
          <w:rFonts w:cs="Times New Roman"/>
        </w:rPr>
        <w:t xml:space="preserve"> and intercept </w:t>
      </w:r>
      <m:oMath>
        <m:r>
          <w:rPr>
            <w:rFonts w:ascii="Cambria Math" w:hAnsi="Cambria Math" w:cs="Times New Roman"/>
          </w:rPr>
          <m:t>(I)</m:t>
        </m:r>
      </m:oMath>
      <w:r w:rsidRPr="00C87AF0">
        <w:rPr>
          <w:rFonts w:cs="Times New Roman"/>
        </w:rPr>
        <w:t xml:space="preserve"> are utilized to determine the maximum adsorption capacity (</w:t>
      </w:r>
      <m:oMath>
        <m:r>
          <w:rPr>
            <w:rFonts w:ascii="Cambria Math" w:hAnsi="Cambria Math" w:cs="Times New Roman"/>
          </w:rPr>
          <m:t>Qm</m:t>
        </m:r>
      </m:oMath>
      <w:r w:rsidRPr="00C87AF0">
        <w:rPr>
          <w:rFonts w:cs="Times New Roman"/>
        </w:rPr>
        <w:t xml:space="preserve">) and the Langmuir constant (b). From the data, the slope is 5.8412, which leads to a calculated </w:t>
      </w:r>
      <m:oMath>
        <m:r>
          <w:rPr>
            <w:rFonts w:ascii="Cambria Math" w:hAnsi="Cambria Math" w:cs="Times New Roman"/>
          </w:rPr>
          <m:t>Qm</m:t>
        </m:r>
      </m:oMath>
      <w:r w:rsidRPr="00C87AF0">
        <w:rPr>
          <w:rFonts w:cs="Times New Roman"/>
        </w:rPr>
        <w:t xml:space="preserve"> of 0.1716 mg/g, indicating the material's maximum adsorption capacity for the adsorbate. The negative intercept (-0.2020) reflects the nature of adsorption interactions, and when multiplied by </w:t>
      </w:r>
      <m:oMath>
        <m:r>
          <w:rPr>
            <w:rFonts w:ascii="Cambria Math" w:hAnsi="Cambria Math" w:cs="Times New Roman"/>
          </w:rPr>
          <m:t>Qm</m:t>
        </m:r>
      </m:oMath>
      <w:r w:rsidRPr="00C87AF0">
        <w:rPr>
          <w:rFonts w:cs="Times New Roman"/>
        </w:rPr>
        <w:t>, it results in a Langmuir constant (b) of -0.0347 L/mg. The constant "b" is related to the affinity of the binding sites for the adsorbate, and the negative value could suggest unfavorable adsorption interactions, possibly due to experimental conditions or material characteristics.</w:t>
      </w:r>
    </w:p>
    <w:p w14:paraId="6E9A56DD" w14:textId="77777777" w:rsidR="00267FC2" w:rsidRPr="00C87AF0" w:rsidRDefault="00267FC2" w:rsidP="00267FC2">
      <w:pPr>
        <w:pStyle w:val="Heading4"/>
        <w:spacing w:line="276" w:lineRule="auto"/>
      </w:pPr>
      <w:r w:rsidRPr="00C87AF0">
        <w:t>4.4.1.2 Freundlich Isotherm</w:t>
      </w:r>
    </w:p>
    <w:p w14:paraId="3203464F" w14:textId="77777777" w:rsidR="00267FC2" w:rsidRPr="00C87AF0" w:rsidRDefault="00267FC2" w:rsidP="00267FC2">
      <w:pPr>
        <w:pStyle w:val="NormalWeb"/>
        <w:spacing w:line="276" w:lineRule="auto"/>
      </w:pPr>
      <w:r w:rsidRPr="00C87AF0">
        <w:t xml:space="preserve">The </w:t>
      </w:r>
      <w:r w:rsidRPr="00C87AF0">
        <w:rPr>
          <w:rStyle w:val="Strong"/>
        </w:rPr>
        <w:t>Freundlich Isotherm Model</w:t>
      </w:r>
      <w:r>
        <w:t>: R</w:t>
      </w:r>
      <w:r w:rsidRPr="00C87AF0">
        <w:t>epresents adsorption on a heterogeneous surface with varying affinities for the adsorbate. This model indicates that the surface has multiple types of adsorption sites, each with different energies, and adsorption capacity increases with higher concentrations of the ad</w:t>
      </w:r>
      <w:r>
        <w:t>sorbate.</w:t>
      </w:r>
    </w:p>
    <w:p w14:paraId="42AD1F70" w14:textId="77777777" w:rsidR="00267FC2" w:rsidRPr="00C87AF0" w:rsidRDefault="00267FC2" w:rsidP="00267FC2">
      <w:pPr>
        <w:spacing w:line="276" w:lineRule="auto"/>
        <w:rPr>
          <w:rFonts w:cs="Times New Roman"/>
        </w:rPr>
      </w:pPr>
      <w:bookmarkStart w:id="2" w:name="_Toc180056590"/>
      <w:r w:rsidRPr="00D14E9A">
        <w:rPr>
          <w:rFonts w:cs="Times New Roman"/>
          <w:b/>
        </w:rPr>
        <w:t xml:space="preserve">Table 4. </w:t>
      </w:r>
      <w:r w:rsidRPr="00D14E9A">
        <w:rPr>
          <w:rFonts w:cs="Times New Roman"/>
          <w:b/>
        </w:rPr>
        <w:fldChar w:fldCharType="begin"/>
      </w:r>
      <w:r w:rsidRPr="00D14E9A">
        <w:rPr>
          <w:rFonts w:cs="Times New Roman"/>
          <w:b/>
        </w:rPr>
        <w:instrText xml:space="preserve"> SEQ Table_4. \* ARABIC </w:instrText>
      </w:r>
      <w:r w:rsidRPr="00D14E9A">
        <w:rPr>
          <w:rFonts w:cs="Times New Roman"/>
          <w:b/>
        </w:rPr>
        <w:fldChar w:fldCharType="separate"/>
      </w:r>
      <w:r w:rsidRPr="00D14E9A">
        <w:rPr>
          <w:rFonts w:cs="Times New Roman"/>
          <w:b/>
          <w:noProof/>
        </w:rPr>
        <w:t>4</w:t>
      </w:r>
      <w:r w:rsidRPr="00D14E9A">
        <w:rPr>
          <w:rFonts w:cs="Times New Roman"/>
          <w:b/>
        </w:rPr>
        <w:fldChar w:fldCharType="end"/>
      </w:r>
      <w:r w:rsidRPr="00C87AF0">
        <w:rPr>
          <w:rFonts w:cs="Times New Roman"/>
        </w:rPr>
        <w:t xml:space="preserve"> : </w:t>
      </w:r>
      <w:r w:rsidRPr="00C87AF0">
        <w:rPr>
          <w:rFonts w:eastAsia="Times New Roman" w:cs="Times New Roman"/>
          <w:szCs w:val="24"/>
        </w:rPr>
        <w:t>presents the data used for fitting the Freundlich isotherm model, while Figure 4.6 illustrates the linear form of the Freundlich equation.</w:t>
      </w:r>
      <w:bookmarkEnd w:id="2"/>
      <w:r w:rsidRPr="00C87AF0">
        <w:rPr>
          <w:rFonts w:cs="Times New Roman"/>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6"/>
        <w:gridCol w:w="2258"/>
        <w:gridCol w:w="2258"/>
      </w:tblGrid>
      <w:tr w:rsidR="00267FC2" w:rsidRPr="00C87AF0" w14:paraId="6AA5B5A3" w14:textId="77777777" w:rsidTr="00AE6801">
        <w:tc>
          <w:tcPr>
            <w:tcW w:w="2337" w:type="dxa"/>
            <w:tcBorders>
              <w:top w:val="single" w:sz="4" w:space="0" w:color="auto"/>
              <w:bottom w:val="single" w:sz="4" w:space="0" w:color="auto"/>
            </w:tcBorders>
            <w:vAlign w:val="center"/>
            <w:hideMark/>
          </w:tcPr>
          <w:p w14:paraId="069BE442" w14:textId="77777777" w:rsidR="00267FC2" w:rsidRPr="00C87AF0" w:rsidRDefault="00267FC2" w:rsidP="00AE6801">
            <w:pPr>
              <w:spacing w:line="276" w:lineRule="auto"/>
              <w:rPr>
                <w:rFonts w:cs="Times New Roman"/>
                <w:b/>
                <w:bCs/>
              </w:rPr>
            </w:pPr>
            <m:oMathPara>
              <m:oMath>
                <m:r>
                  <m:rPr>
                    <m:sty m:val="bi"/>
                  </m:rPr>
                  <w:rPr>
                    <w:rStyle w:val="katex-mathml"/>
                    <w:rFonts w:ascii="Cambria Math" w:hAnsi="Cambria Math" w:cs="Times New Roman"/>
                  </w:rPr>
                  <m:t>Ce</m:t>
                </m:r>
                <m:r>
                  <m:rPr>
                    <m:sty m:val="bi"/>
                  </m:rPr>
                  <w:rPr>
                    <w:rFonts w:ascii="Cambria Math" w:hAnsi="Cambria Math" w:cs="Times New Roman"/>
                  </w:rPr>
                  <m:t xml:space="preserve"> (mg/L)</m:t>
                </m:r>
              </m:oMath>
            </m:oMathPara>
          </w:p>
        </w:tc>
        <w:tc>
          <w:tcPr>
            <w:tcW w:w="2337" w:type="dxa"/>
            <w:tcBorders>
              <w:top w:val="single" w:sz="4" w:space="0" w:color="auto"/>
              <w:bottom w:val="single" w:sz="4" w:space="0" w:color="auto"/>
            </w:tcBorders>
            <w:vAlign w:val="center"/>
            <w:hideMark/>
          </w:tcPr>
          <w:p w14:paraId="25905FEA" w14:textId="77777777" w:rsidR="00267FC2" w:rsidRPr="00C87AF0" w:rsidRDefault="00267FC2" w:rsidP="00AE6801">
            <w:pPr>
              <w:spacing w:line="276" w:lineRule="auto"/>
              <w:rPr>
                <w:rFonts w:cs="Times New Roman"/>
                <w:b/>
                <w:bCs/>
              </w:rPr>
            </w:pPr>
            <m:oMathPara>
              <m:oMath>
                <m:r>
                  <m:rPr>
                    <m:sty m:val="bi"/>
                  </m:rPr>
                  <w:rPr>
                    <w:rStyle w:val="katex-mathml"/>
                    <w:rFonts w:ascii="Cambria Math" w:hAnsi="Cambria Math" w:cs="Times New Roman"/>
                  </w:rPr>
                  <m:t xml:space="preserve">Qe </m:t>
                </m:r>
                <m:r>
                  <m:rPr>
                    <m:sty m:val="bi"/>
                  </m:rPr>
                  <w:rPr>
                    <w:rFonts w:ascii="Cambria Math" w:hAnsi="Cambria Math" w:cs="Times New Roman"/>
                  </w:rPr>
                  <m:t>(mg/g)</m:t>
                </m:r>
              </m:oMath>
            </m:oMathPara>
          </w:p>
        </w:tc>
        <w:tc>
          <w:tcPr>
            <w:tcW w:w="2338" w:type="dxa"/>
            <w:tcBorders>
              <w:top w:val="single" w:sz="4" w:space="0" w:color="auto"/>
              <w:bottom w:val="single" w:sz="4" w:space="0" w:color="auto"/>
            </w:tcBorders>
            <w:vAlign w:val="center"/>
            <w:hideMark/>
          </w:tcPr>
          <w:p w14:paraId="2EBC66BB" w14:textId="77777777" w:rsidR="00267FC2" w:rsidRPr="00C87AF0" w:rsidRDefault="00267FC2" w:rsidP="00AE6801">
            <w:pPr>
              <w:spacing w:line="276" w:lineRule="auto"/>
              <w:rPr>
                <w:rFonts w:cs="Times New Roman"/>
                <w:b/>
                <w:bCs/>
              </w:rPr>
            </w:pPr>
            <m:oMathPara>
              <m:oMath>
                <m:r>
                  <m:rPr>
                    <m:sty m:val="bi"/>
                  </m:rPr>
                  <w:rPr>
                    <w:rStyle w:val="mop"/>
                    <w:rFonts w:ascii="Cambria Math" w:hAnsi="Cambria Math" w:cs="Times New Roman"/>
                  </w:rPr>
                  <m:t>log</m:t>
                </m:r>
                <m:r>
                  <m:rPr>
                    <m:sty m:val="bi"/>
                  </m:rPr>
                  <w:rPr>
                    <w:rStyle w:val="mopen"/>
                    <w:rFonts w:ascii="Cambria Math" w:hAnsi="Cambria Math" w:cs="Times New Roman"/>
                  </w:rPr>
                  <m:t>(</m:t>
                </m:r>
                <m:r>
                  <m:rPr>
                    <m:sty m:val="bi"/>
                  </m:rPr>
                  <w:rPr>
                    <w:rStyle w:val="mord"/>
                    <w:rFonts w:ascii="Cambria Math" w:hAnsi="Cambria Math" w:cs="Times New Roman"/>
                  </w:rPr>
                  <m:t>Ce</m:t>
                </m:r>
                <m:r>
                  <m:rPr>
                    <m:sty m:val="bi"/>
                  </m:rPr>
                  <w:rPr>
                    <w:rStyle w:val="vlist-s"/>
                    <w:rFonts w:ascii="Cambria Math" w:hAnsi="Cambria Math" w:cs="Times New Roman"/>
                  </w:rPr>
                  <m:t>​</m:t>
                </m:r>
                <m:r>
                  <m:rPr>
                    <m:sty m:val="bi"/>
                  </m:rPr>
                  <w:rPr>
                    <w:rStyle w:val="mclose"/>
                    <w:rFonts w:ascii="Cambria Math" w:hAnsi="Cambria Math" w:cs="Times New Roman"/>
                  </w:rPr>
                  <m:t>)</m:t>
                </m:r>
              </m:oMath>
            </m:oMathPara>
          </w:p>
        </w:tc>
        <w:tc>
          <w:tcPr>
            <w:tcW w:w="2338" w:type="dxa"/>
            <w:tcBorders>
              <w:top w:val="single" w:sz="4" w:space="0" w:color="auto"/>
              <w:bottom w:val="single" w:sz="4" w:space="0" w:color="auto"/>
            </w:tcBorders>
            <w:vAlign w:val="center"/>
            <w:hideMark/>
          </w:tcPr>
          <w:p w14:paraId="0CBDDBCB" w14:textId="77777777" w:rsidR="00267FC2" w:rsidRPr="00C87AF0" w:rsidRDefault="00267FC2" w:rsidP="00AE6801">
            <w:pPr>
              <w:spacing w:line="276" w:lineRule="auto"/>
              <w:rPr>
                <w:rFonts w:cs="Times New Roman"/>
                <w:b/>
                <w:bCs/>
              </w:rPr>
            </w:pPr>
            <m:oMathPara>
              <m:oMath>
                <m:r>
                  <m:rPr>
                    <m:sty m:val="bi"/>
                  </m:rPr>
                  <w:rPr>
                    <w:rStyle w:val="mop"/>
                    <w:rFonts w:ascii="Cambria Math" w:hAnsi="Cambria Math" w:cs="Times New Roman"/>
                  </w:rPr>
                  <m:t>log</m:t>
                </m:r>
                <m:r>
                  <m:rPr>
                    <m:sty m:val="bi"/>
                  </m:rPr>
                  <w:rPr>
                    <w:rStyle w:val="mopen"/>
                    <w:rFonts w:ascii="Cambria Math" w:hAnsi="Cambria Math" w:cs="Times New Roman"/>
                  </w:rPr>
                  <m:t>(</m:t>
                </m:r>
                <m:r>
                  <m:rPr>
                    <m:sty m:val="bi"/>
                  </m:rPr>
                  <w:rPr>
                    <w:rStyle w:val="mord"/>
                    <w:rFonts w:ascii="Cambria Math" w:hAnsi="Cambria Math" w:cs="Times New Roman"/>
                  </w:rPr>
                  <m:t>qe</m:t>
                </m:r>
                <m:r>
                  <m:rPr>
                    <m:sty m:val="bi"/>
                  </m:rPr>
                  <w:rPr>
                    <w:rStyle w:val="vlist-s"/>
                    <w:rFonts w:ascii="Cambria Math" w:hAnsi="Cambria Math" w:cs="Times New Roman"/>
                  </w:rPr>
                  <m:t>​</m:t>
                </m:r>
                <m:r>
                  <m:rPr>
                    <m:sty m:val="bi"/>
                  </m:rPr>
                  <w:rPr>
                    <w:rStyle w:val="mclose"/>
                    <w:rFonts w:ascii="Cambria Math" w:hAnsi="Cambria Math" w:cs="Times New Roman"/>
                  </w:rPr>
                  <m:t>)</m:t>
                </m:r>
              </m:oMath>
            </m:oMathPara>
          </w:p>
        </w:tc>
      </w:tr>
      <w:tr w:rsidR="00267FC2" w:rsidRPr="00C87AF0" w14:paraId="27F9FB83" w14:textId="77777777" w:rsidTr="00AE6801">
        <w:tc>
          <w:tcPr>
            <w:tcW w:w="2337" w:type="dxa"/>
            <w:tcBorders>
              <w:top w:val="single" w:sz="4" w:space="0" w:color="auto"/>
            </w:tcBorders>
            <w:vAlign w:val="center"/>
            <w:hideMark/>
          </w:tcPr>
          <w:p w14:paraId="72362593" w14:textId="77777777" w:rsidR="00267FC2" w:rsidRPr="00C87AF0" w:rsidRDefault="00267FC2" w:rsidP="00AE6801">
            <w:pPr>
              <w:spacing w:line="276" w:lineRule="auto"/>
              <w:rPr>
                <w:rFonts w:cs="Times New Roman"/>
              </w:rPr>
            </w:pPr>
            <w:r w:rsidRPr="00C87AF0">
              <w:rPr>
                <w:rFonts w:cs="Times New Roman"/>
              </w:rPr>
              <w:t>7.26</w:t>
            </w:r>
          </w:p>
        </w:tc>
        <w:tc>
          <w:tcPr>
            <w:tcW w:w="2337" w:type="dxa"/>
            <w:tcBorders>
              <w:top w:val="single" w:sz="4" w:space="0" w:color="auto"/>
            </w:tcBorders>
            <w:vAlign w:val="center"/>
            <w:hideMark/>
          </w:tcPr>
          <w:p w14:paraId="224C5FCE" w14:textId="77777777" w:rsidR="00267FC2" w:rsidRPr="00C87AF0" w:rsidRDefault="00267FC2" w:rsidP="00AE6801">
            <w:pPr>
              <w:spacing w:line="276" w:lineRule="auto"/>
              <w:rPr>
                <w:rFonts w:cs="Times New Roman"/>
              </w:rPr>
            </w:pPr>
            <w:r w:rsidRPr="00C87AF0">
              <w:rPr>
                <w:rFonts w:cs="Times New Roman"/>
              </w:rPr>
              <w:t>1.37</w:t>
            </w:r>
          </w:p>
        </w:tc>
        <w:tc>
          <w:tcPr>
            <w:tcW w:w="2338" w:type="dxa"/>
            <w:tcBorders>
              <w:top w:val="single" w:sz="4" w:space="0" w:color="auto"/>
            </w:tcBorders>
            <w:vAlign w:val="center"/>
            <w:hideMark/>
          </w:tcPr>
          <w:p w14:paraId="67042EC9" w14:textId="77777777" w:rsidR="00267FC2" w:rsidRPr="00C87AF0" w:rsidRDefault="00267FC2" w:rsidP="00AE6801">
            <w:pPr>
              <w:spacing w:line="276" w:lineRule="auto"/>
              <w:rPr>
                <w:rFonts w:cs="Times New Roman"/>
              </w:rPr>
            </w:pPr>
            <w:r w:rsidRPr="00C87AF0">
              <w:rPr>
                <w:rFonts w:cs="Times New Roman"/>
              </w:rPr>
              <w:t>0.360</w:t>
            </w:r>
          </w:p>
        </w:tc>
        <w:tc>
          <w:tcPr>
            <w:tcW w:w="2338" w:type="dxa"/>
            <w:tcBorders>
              <w:top w:val="single" w:sz="4" w:space="0" w:color="auto"/>
            </w:tcBorders>
            <w:vAlign w:val="center"/>
            <w:hideMark/>
          </w:tcPr>
          <w:p w14:paraId="2683C3C4" w14:textId="77777777" w:rsidR="00267FC2" w:rsidRPr="00C87AF0" w:rsidRDefault="00267FC2" w:rsidP="00AE6801">
            <w:pPr>
              <w:spacing w:line="276" w:lineRule="auto"/>
              <w:rPr>
                <w:rFonts w:cs="Times New Roman"/>
              </w:rPr>
            </w:pPr>
            <w:r w:rsidRPr="00C87AF0">
              <w:rPr>
                <w:rFonts w:cs="Times New Roman"/>
              </w:rPr>
              <w:t>0.137</w:t>
            </w:r>
          </w:p>
        </w:tc>
      </w:tr>
      <w:tr w:rsidR="00267FC2" w:rsidRPr="00C87AF0" w14:paraId="38B10691" w14:textId="77777777" w:rsidTr="00AE6801">
        <w:tc>
          <w:tcPr>
            <w:tcW w:w="2337" w:type="dxa"/>
            <w:vAlign w:val="center"/>
            <w:hideMark/>
          </w:tcPr>
          <w:p w14:paraId="3C32AB1B" w14:textId="77777777" w:rsidR="00267FC2" w:rsidRPr="00C87AF0" w:rsidRDefault="00267FC2" w:rsidP="00AE6801">
            <w:pPr>
              <w:spacing w:line="276" w:lineRule="auto"/>
              <w:rPr>
                <w:rFonts w:cs="Times New Roman"/>
              </w:rPr>
            </w:pPr>
            <w:r w:rsidRPr="00C87AF0">
              <w:rPr>
                <w:rFonts w:cs="Times New Roman"/>
              </w:rPr>
              <w:t>10.24</w:t>
            </w:r>
          </w:p>
        </w:tc>
        <w:tc>
          <w:tcPr>
            <w:tcW w:w="2337" w:type="dxa"/>
            <w:vAlign w:val="center"/>
            <w:hideMark/>
          </w:tcPr>
          <w:p w14:paraId="7EDAEE77" w14:textId="77777777" w:rsidR="00267FC2" w:rsidRPr="00C87AF0" w:rsidRDefault="00267FC2" w:rsidP="00AE6801">
            <w:pPr>
              <w:spacing w:line="276" w:lineRule="auto"/>
              <w:rPr>
                <w:rFonts w:cs="Times New Roman"/>
              </w:rPr>
            </w:pPr>
            <w:r w:rsidRPr="00C87AF0">
              <w:rPr>
                <w:rFonts w:cs="Times New Roman"/>
              </w:rPr>
              <w:t>2.38</w:t>
            </w:r>
          </w:p>
        </w:tc>
        <w:tc>
          <w:tcPr>
            <w:tcW w:w="2338" w:type="dxa"/>
            <w:vAlign w:val="center"/>
            <w:hideMark/>
          </w:tcPr>
          <w:p w14:paraId="2FFB4C42" w14:textId="77777777" w:rsidR="00267FC2" w:rsidRPr="00C87AF0" w:rsidRDefault="00267FC2" w:rsidP="00AE6801">
            <w:pPr>
              <w:spacing w:line="276" w:lineRule="auto"/>
              <w:rPr>
                <w:rFonts w:cs="Times New Roman"/>
              </w:rPr>
            </w:pPr>
            <w:r w:rsidRPr="00C87AF0">
              <w:rPr>
                <w:rFonts w:cs="Times New Roman"/>
              </w:rPr>
              <w:t>0.010</w:t>
            </w:r>
          </w:p>
        </w:tc>
        <w:tc>
          <w:tcPr>
            <w:tcW w:w="2338" w:type="dxa"/>
            <w:vAlign w:val="center"/>
            <w:hideMark/>
          </w:tcPr>
          <w:p w14:paraId="56A951B9" w14:textId="77777777" w:rsidR="00267FC2" w:rsidRPr="00C87AF0" w:rsidRDefault="00267FC2" w:rsidP="00AE6801">
            <w:pPr>
              <w:spacing w:line="276" w:lineRule="auto"/>
              <w:rPr>
                <w:rFonts w:cs="Times New Roman"/>
              </w:rPr>
            </w:pPr>
            <w:r w:rsidRPr="00C87AF0">
              <w:rPr>
                <w:rFonts w:cs="Times New Roman"/>
              </w:rPr>
              <w:t>0.377</w:t>
            </w:r>
          </w:p>
        </w:tc>
      </w:tr>
      <w:tr w:rsidR="00267FC2" w:rsidRPr="00C87AF0" w14:paraId="042A8D21" w14:textId="77777777" w:rsidTr="00AE6801">
        <w:tc>
          <w:tcPr>
            <w:tcW w:w="2337" w:type="dxa"/>
            <w:vAlign w:val="center"/>
            <w:hideMark/>
          </w:tcPr>
          <w:p w14:paraId="7A55B2C7" w14:textId="77777777" w:rsidR="00267FC2" w:rsidRPr="00C87AF0" w:rsidRDefault="00267FC2" w:rsidP="00AE6801">
            <w:pPr>
              <w:spacing w:line="276" w:lineRule="auto"/>
              <w:rPr>
                <w:rFonts w:cs="Times New Roman"/>
              </w:rPr>
            </w:pPr>
            <w:r w:rsidRPr="00C87AF0">
              <w:rPr>
                <w:rFonts w:cs="Times New Roman"/>
              </w:rPr>
              <w:t>9.38</w:t>
            </w:r>
          </w:p>
        </w:tc>
        <w:tc>
          <w:tcPr>
            <w:tcW w:w="2337" w:type="dxa"/>
            <w:vAlign w:val="center"/>
            <w:hideMark/>
          </w:tcPr>
          <w:p w14:paraId="44B86EC9" w14:textId="77777777" w:rsidR="00267FC2" w:rsidRPr="00C87AF0" w:rsidRDefault="00267FC2" w:rsidP="00AE6801">
            <w:pPr>
              <w:spacing w:line="276" w:lineRule="auto"/>
              <w:rPr>
                <w:rFonts w:cs="Times New Roman"/>
              </w:rPr>
            </w:pPr>
            <w:r w:rsidRPr="00C87AF0">
              <w:rPr>
                <w:rFonts w:cs="Times New Roman"/>
              </w:rPr>
              <w:t>5.31</w:t>
            </w:r>
          </w:p>
        </w:tc>
        <w:tc>
          <w:tcPr>
            <w:tcW w:w="2338" w:type="dxa"/>
            <w:vAlign w:val="center"/>
            <w:hideMark/>
          </w:tcPr>
          <w:p w14:paraId="727EDD79" w14:textId="77777777" w:rsidR="00267FC2" w:rsidRPr="00C87AF0" w:rsidRDefault="00267FC2" w:rsidP="00AE6801">
            <w:pPr>
              <w:spacing w:line="276" w:lineRule="auto"/>
              <w:rPr>
                <w:rFonts w:cs="Times New Roman"/>
              </w:rPr>
            </w:pPr>
            <w:r w:rsidRPr="00C87AF0">
              <w:rPr>
                <w:rFonts w:cs="Times New Roman"/>
              </w:rPr>
              <w:t>0.172</w:t>
            </w:r>
          </w:p>
        </w:tc>
        <w:tc>
          <w:tcPr>
            <w:tcW w:w="2338" w:type="dxa"/>
            <w:vAlign w:val="center"/>
            <w:hideMark/>
          </w:tcPr>
          <w:p w14:paraId="08035D9A" w14:textId="77777777" w:rsidR="00267FC2" w:rsidRPr="00C87AF0" w:rsidRDefault="00267FC2" w:rsidP="00AE6801">
            <w:pPr>
              <w:spacing w:line="276" w:lineRule="auto"/>
              <w:rPr>
                <w:rFonts w:cs="Times New Roman"/>
              </w:rPr>
            </w:pPr>
            <w:r w:rsidRPr="00C87AF0">
              <w:rPr>
                <w:rFonts w:cs="Times New Roman"/>
              </w:rPr>
              <w:t>0.727</w:t>
            </w:r>
          </w:p>
        </w:tc>
      </w:tr>
      <w:tr w:rsidR="00267FC2" w:rsidRPr="00C87AF0" w14:paraId="0CF0C2DF" w14:textId="77777777" w:rsidTr="00AE6801">
        <w:tc>
          <w:tcPr>
            <w:tcW w:w="2337" w:type="dxa"/>
            <w:vAlign w:val="center"/>
            <w:hideMark/>
          </w:tcPr>
          <w:p w14:paraId="6F74D698" w14:textId="77777777" w:rsidR="00267FC2" w:rsidRPr="00C87AF0" w:rsidRDefault="00267FC2" w:rsidP="00AE6801">
            <w:pPr>
              <w:spacing w:line="276" w:lineRule="auto"/>
              <w:rPr>
                <w:rFonts w:cs="Times New Roman"/>
              </w:rPr>
            </w:pPr>
            <w:r w:rsidRPr="00C87AF0">
              <w:rPr>
                <w:rFonts w:cs="Times New Roman"/>
              </w:rPr>
              <w:t>16.22</w:t>
            </w:r>
          </w:p>
        </w:tc>
        <w:tc>
          <w:tcPr>
            <w:tcW w:w="2337" w:type="dxa"/>
            <w:vAlign w:val="center"/>
            <w:hideMark/>
          </w:tcPr>
          <w:p w14:paraId="70597A7B" w14:textId="77777777" w:rsidR="00267FC2" w:rsidRPr="00C87AF0" w:rsidRDefault="00267FC2" w:rsidP="00AE6801">
            <w:pPr>
              <w:spacing w:line="276" w:lineRule="auto"/>
              <w:rPr>
                <w:rFonts w:cs="Times New Roman"/>
              </w:rPr>
            </w:pPr>
            <w:r w:rsidRPr="00C87AF0">
              <w:rPr>
                <w:rFonts w:cs="Times New Roman"/>
              </w:rPr>
              <w:t>4.39</w:t>
            </w:r>
          </w:p>
        </w:tc>
        <w:tc>
          <w:tcPr>
            <w:tcW w:w="2338" w:type="dxa"/>
            <w:vAlign w:val="center"/>
            <w:hideMark/>
          </w:tcPr>
          <w:p w14:paraId="33BCA4DD" w14:textId="77777777" w:rsidR="00267FC2" w:rsidRPr="00C87AF0" w:rsidRDefault="00267FC2" w:rsidP="00AE6801">
            <w:pPr>
              <w:spacing w:line="276" w:lineRule="auto"/>
              <w:rPr>
                <w:rFonts w:cs="Times New Roman"/>
              </w:rPr>
            </w:pPr>
            <w:r w:rsidRPr="00C87AF0">
              <w:rPr>
                <w:rFonts w:cs="Times New Roman"/>
              </w:rPr>
              <w:t>0.210</w:t>
            </w:r>
          </w:p>
        </w:tc>
        <w:tc>
          <w:tcPr>
            <w:tcW w:w="2338" w:type="dxa"/>
            <w:vAlign w:val="center"/>
            <w:hideMark/>
          </w:tcPr>
          <w:p w14:paraId="670D8694" w14:textId="77777777" w:rsidR="00267FC2" w:rsidRPr="00C87AF0" w:rsidRDefault="00267FC2" w:rsidP="00AE6801">
            <w:pPr>
              <w:spacing w:line="276" w:lineRule="auto"/>
              <w:rPr>
                <w:rFonts w:cs="Times New Roman"/>
              </w:rPr>
            </w:pPr>
            <w:r w:rsidRPr="00C87AF0">
              <w:rPr>
                <w:rFonts w:cs="Times New Roman"/>
              </w:rPr>
              <w:t>0.643</w:t>
            </w:r>
          </w:p>
        </w:tc>
      </w:tr>
      <w:tr w:rsidR="00267FC2" w:rsidRPr="00C87AF0" w14:paraId="76A30BCF" w14:textId="77777777" w:rsidTr="00AE6801">
        <w:tc>
          <w:tcPr>
            <w:tcW w:w="2337" w:type="dxa"/>
            <w:vAlign w:val="center"/>
            <w:hideMark/>
          </w:tcPr>
          <w:p w14:paraId="0B709618" w14:textId="77777777" w:rsidR="00267FC2" w:rsidRPr="00C87AF0" w:rsidRDefault="00267FC2" w:rsidP="00AE6801">
            <w:pPr>
              <w:spacing w:line="276" w:lineRule="auto"/>
              <w:rPr>
                <w:rFonts w:cs="Times New Roman"/>
              </w:rPr>
            </w:pPr>
            <w:r w:rsidRPr="00C87AF0">
              <w:rPr>
                <w:rFonts w:cs="Times New Roman"/>
              </w:rPr>
              <w:t>14.63</w:t>
            </w:r>
          </w:p>
        </w:tc>
        <w:tc>
          <w:tcPr>
            <w:tcW w:w="2337" w:type="dxa"/>
            <w:vAlign w:val="center"/>
            <w:hideMark/>
          </w:tcPr>
          <w:p w14:paraId="793AC938" w14:textId="77777777" w:rsidR="00267FC2" w:rsidRPr="00C87AF0" w:rsidRDefault="00267FC2" w:rsidP="00AE6801">
            <w:pPr>
              <w:spacing w:line="276" w:lineRule="auto"/>
              <w:rPr>
                <w:rFonts w:cs="Times New Roman"/>
              </w:rPr>
            </w:pPr>
            <w:r w:rsidRPr="00C87AF0">
              <w:rPr>
                <w:rFonts w:cs="Times New Roman"/>
              </w:rPr>
              <w:t>7.69</w:t>
            </w:r>
          </w:p>
        </w:tc>
        <w:tc>
          <w:tcPr>
            <w:tcW w:w="2338" w:type="dxa"/>
            <w:vAlign w:val="center"/>
            <w:hideMark/>
          </w:tcPr>
          <w:p w14:paraId="5F465384" w14:textId="77777777" w:rsidR="00267FC2" w:rsidRPr="00C87AF0" w:rsidRDefault="00267FC2" w:rsidP="00AE6801">
            <w:pPr>
              <w:spacing w:line="276" w:lineRule="auto"/>
              <w:rPr>
                <w:rFonts w:cs="Times New Roman"/>
              </w:rPr>
            </w:pPr>
            <w:r w:rsidRPr="00C87AF0">
              <w:rPr>
                <w:rFonts w:cs="Times New Roman"/>
              </w:rPr>
              <w:t>0.167</w:t>
            </w:r>
          </w:p>
        </w:tc>
        <w:tc>
          <w:tcPr>
            <w:tcW w:w="2338" w:type="dxa"/>
            <w:vAlign w:val="center"/>
            <w:hideMark/>
          </w:tcPr>
          <w:p w14:paraId="27FED7A1" w14:textId="77777777" w:rsidR="00267FC2" w:rsidRPr="00C87AF0" w:rsidRDefault="00267FC2" w:rsidP="00AE6801">
            <w:pPr>
              <w:spacing w:line="276" w:lineRule="auto"/>
              <w:rPr>
                <w:rFonts w:cs="Times New Roman"/>
              </w:rPr>
            </w:pPr>
            <w:r w:rsidRPr="00C87AF0">
              <w:rPr>
                <w:rFonts w:cs="Times New Roman"/>
              </w:rPr>
              <w:t>0.886</w:t>
            </w:r>
          </w:p>
        </w:tc>
      </w:tr>
      <w:tr w:rsidR="00267FC2" w:rsidRPr="00C87AF0" w14:paraId="61A982EE" w14:textId="77777777" w:rsidTr="00AE6801">
        <w:tc>
          <w:tcPr>
            <w:tcW w:w="2337" w:type="dxa"/>
            <w:vAlign w:val="center"/>
            <w:hideMark/>
          </w:tcPr>
          <w:p w14:paraId="6808F99C" w14:textId="77777777" w:rsidR="00267FC2" w:rsidRPr="00C87AF0" w:rsidRDefault="00267FC2" w:rsidP="00AE6801">
            <w:pPr>
              <w:spacing w:line="276" w:lineRule="auto"/>
              <w:rPr>
                <w:rFonts w:cs="Times New Roman"/>
              </w:rPr>
            </w:pPr>
            <w:r w:rsidRPr="00C87AF0">
              <w:rPr>
                <w:rFonts w:cs="Times New Roman"/>
              </w:rPr>
              <w:t>19.11</w:t>
            </w:r>
          </w:p>
        </w:tc>
        <w:tc>
          <w:tcPr>
            <w:tcW w:w="2337" w:type="dxa"/>
            <w:vAlign w:val="center"/>
            <w:hideMark/>
          </w:tcPr>
          <w:p w14:paraId="3B5CC7CA" w14:textId="77777777" w:rsidR="00267FC2" w:rsidRPr="00C87AF0" w:rsidRDefault="00267FC2" w:rsidP="00AE6801">
            <w:pPr>
              <w:spacing w:line="276" w:lineRule="auto"/>
              <w:rPr>
                <w:rFonts w:cs="Times New Roman"/>
              </w:rPr>
            </w:pPr>
            <w:r w:rsidRPr="00C87AF0">
              <w:rPr>
                <w:rFonts w:cs="Times New Roman"/>
              </w:rPr>
              <w:t>7.95</w:t>
            </w:r>
          </w:p>
        </w:tc>
        <w:tc>
          <w:tcPr>
            <w:tcW w:w="2338" w:type="dxa"/>
            <w:vAlign w:val="center"/>
            <w:hideMark/>
          </w:tcPr>
          <w:p w14:paraId="71695C5B" w14:textId="77777777" w:rsidR="00267FC2" w:rsidRPr="00C87AF0" w:rsidRDefault="00267FC2" w:rsidP="00AE6801">
            <w:pPr>
              <w:spacing w:line="276" w:lineRule="auto"/>
              <w:rPr>
                <w:rFonts w:cs="Times New Roman"/>
              </w:rPr>
            </w:pPr>
            <w:r w:rsidRPr="00C87AF0">
              <w:rPr>
                <w:rFonts w:cs="Times New Roman"/>
              </w:rPr>
              <w:t>0.280</w:t>
            </w:r>
          </w:p>
        </w:tc>
        <w:tc>
          <w:tcPr>
            <w:tcW w:w="2338" w:type="dxa"/>
            <w:vAlign w:val="center"/>
            <w:hideMark/>
          </w:tcPr>
          <w:p w14:paraId="7209164D" w14:textId="77777777" w:rsidR="00267FC2" w:rsidRPr="00C87AF0" w:rsidRDefault="00267FC2" w:rsidP="00AE6801">
            <w:pPr>
              <w:spacing w:line="276" w:lineRule="auto"/>
              <w:rPr>
                <w:rFonts w:cs="Times New Roman"/>
              </w:rPr>
            </w:pPr>
            <w:r w:rsidRPr="00C87AF0">
              <w:rPr>
                <w:rFonts w:cs="Times New Roman"/>
              </w:rPr>
              <w:t>0.952</w:t>
            </w:r>
          </w:p>
        </w:tc>
      </w:tr>
      <w:tr w:rsidR="00267FC2" w:rsidRPr="00C87AF0" w14:paraId="7D90AA15" w14:textId="77777777" w:rsidTr="00AE6801">
        <w:tc>
          <w:tcPr>
            <w:tcW w:w="2337" w:type="dxa"/>
            <w:vAlign w:val="center"/>
            <w:hideMark/>
          </w:tcPr>
          <w:p w14:paraId="3F10C126" w14:textId="77777777" w:rsidR="00267FC2" w:rsidRPr="00C87AF0" w:rsidRDefault="00267FC2" w:rsidP="00AE6801">
            <w:pPr>
              <w:spacing w:line="276" w:lineRule="auto"/>
              <w:rPr>
                <w:rFonts w:cs="Times New Roman"/>
              </w:rPr>
            </w:pPr>
            <w:r w:rsidRPr="00C87AF0">
              <w:rPr>
                <w:rFonts w:cs="Times New Roman"/>
              </w:rPr>
              <w:t>20.72</w:t>
            </w:r>
          </w:p>
        </w:tc>
        <w:tc>
          <w:tcPr>
            <w:tcW w:w="2337" w:type="dxa"/>
            <w:vAlign w:val="center"/>
            <w:hideMark/>
          </w:tcPr>
          <w:p w14:paraId="00CE9CBC" w14:textId="77777777" w:rsidR="00267FC2" w:rsidRPr="00C87AF0" w:rsidRDefault="00267FC2" w:rsidP="00AE6801">
            <w:pPr>
              <w:spacing w:line="276" w:lineRule="auto"/>
              <w:rPr>
                <w:rFonts w:cs="Times New Roman"/>
              </w:rPr>
            </w:pPr>
            <w:r w:rsidRPr="00C87AF0">
              <w:rPr>
                <w:rFonts w:cs="Times New Roman"/>
              </w:rPr>
              <w:t>9.64</w:t>
            </w:r>
          </w:p>
        </w:tc>
        <w:tc>
          <w:tcPr>
            <w:tcW w:w="2338" w:type="dxa"/>
            <w:vAlign w:val="center"/>
            <w:hideMark/>
          </w:tcPr>
          <w:p w14:paraId="115F882E" w14:textId="77777777" w:rsidR="00267FC2" w:rsidRPr="00C87AF0" w:rsidRDefault="00267FC2" w:rsidP="00AE6801">
            <w:pPr>
              <w:spacing w:line="276" w:lineRule="auto"/>
              <w:rPr>
                <w:rFonts w:cs="Times New Roman"/>
              </w:rPr>
            </w:pPr>
            <w:r w:rsidRPr="00C87AF0">
              <w:rPr>
                <w:rFonts w:cs="Times New Roman"/>
              </w:rPr>
              <w:t>0.317</w:t>
            </w:r>
          </w:p>
        </w:tc>
        <w:tc>
          <w:tcPr>
            <w:tcW w:w="2338" w:type="dxa"/>
            <w:vAlign w:val="center"/>
            <w:hideMark/>
          </w:tcPr>
          <w:p w14:paraId="18F802D0" w14:textId="77777777" w:rsidR="00267FC2" w:rsidRPr="00C87AF0" w:rsidRDefault="00267FC2" w:rsidP="00AE6801">
            <w:pPr>
              <w:spacing w:line="276" w:lineRule="auto"/>
              <w:rPr>
                <w:rFonts w:cs="Times New Roman"/>
              </w:rPr>
            </w:pPr>
            <w:r w:rsidRPr="00C87AF0">
              <w:rPr>
                <w:rFonts w:cs="Times New Roman"/>
              </w:rPr>
              <w:t>0.984</w:t>
            </w:r>
          </w:p>
        </w:tc>
      </w:tr>
      <w:tr w:rsidR="00267FC2" w:rsidRPr="00C87AF0" w14:paraId="73EF9894" w14:textId="77777777" w:rsidTr="00AE6801">
        <w:tc>
          <w:tcPr>
            <w:tcW w:w="2337" w:type="dxa"/>
            <w:vAlign w:val="center"/>
            <w:hideMark/>
          </w:tcPr>
          <w:p w14:paraId="31D9D8E2" w14:textId="77777777" w:rsidR="00267FC2" w:rsidRPr="00C87AF0" w:rsidRDefault="00267FC2" w:rsidP="00AE6801">
            <w:pPr>
              <w:spacing w:line="276" w:lineRule="auto"/>
              <w:rPr>
                <w:rFonts w:cs="Times New Roman"/>
              </w:rPr>
            </w:pPr>
            <w:r w:rsidRPr="00C87AF0">
              <w:rPr>
                <w:rFonts w:cs="Times New Roman"/>
              </w:rPr>
              <w:t>21.24</w:t>
            </w:r>
          </w:p>
        </w:tc>
        <w:tc>
          <w:tcPr>
            <w:tcW w:w="2337" w:type="dxa"/>
            <w:vAlign w:val="center"/>
            <w:hideMark/>
          </w:tcPr>
          <w:p w14:paraId="0D6231E4" w14:textId="77777777" w:rsidR="00267FC2" w:rsidRPr="00C87AF0" w:rsidRDefault="00267FC2" w:rsidP="00AE6801">
            <w:pPr>
              <w:spacing w:line="276" w:lineRule="auto"/>
              <w:rPr>
                <w:rFonts w:cs="Times New Roman"/>
              </w:rPr>
            </w:pPr>
            <w:r w:rsidRPr="00C87AF0">
              <w:rPr>
                <w:rFonts w:cs="Times New Roman"/>
              </w:rPr>
              <w:t>14.38</w:t>
            </w:r>
          </w:p>
        </w:tc>
        <w:tc>
          <w:tcPr>
            <w:tcW w:w="2338" w:type="dxa"/>
            <w:vAlign w:val="center"/>
            <w:hideMark/>
          </w:tcPr>
          <w:p w14:paraId="0B20BEDD" w14:textId="77777777" w:rsidR="00267FC2" w:rsidRPr="00C87AF0" w:rsidRDefault="00267FC2" w:rsidP="00AE6801">
            <w:pPr>
              <w:spacing w:line="276" w:lineRule="auto"/>
              <w:rPr>
                <w:rFonts w:cs="Times New Roman"/>
              </w:rPr>
            </w:pPr>
            <w:r w:rsidRPr="00C87AF0">
              <w:rPr>
                <w:rFonts w:cs="Times New Roman"/>
              </w:rPr>
              <w:t>0.328</w:t>
            </w:r>
          </w:p>
        </w:tc>
        <w:tc>
          <w:tcPr>
            <w:tcW w:w="2338" w:type="dxa"/>
            <w:vAlign w:val="center"/>
            <w:hideMark/>
          </w:tcPr>
          <w:p w14:paraId="0246DF42" w14:textId="77777777" w:rsidR="00267FC2" w:rsidRPr="00C87AF0" w:rsidRDefault="00267FC2" w:rsidP="00AE6801">
            <w:pPr>
              <w:spacing w:line="276" w:lineRule="auto"/>
              <w:rPr>
                <w:rFonts w:cs="Times New Roman"/>
              </w:rPr>
            </w:pPr>
            <w:r w:rsidRPr="00C87AF0">
              <w:rPr>
                <w:rFonts w:cs="Times New Roman"/>
              </w:rPr>
              <w:t>1.156</w:t>
            </w:r>
          </w:p>
        </w:tc>
      </w:tr>
    </w:tbl>
    <w:p w14:paraId="49BD490C" w14:textId="77777777" w:rsidR="00267FC2" w:rsidRPr="00C87AF0" w:rsidRDefault="00267FC2" w:rsidP="00267FC2">
      <w:pPr>
        <w:spacing w:before="100" w:beforeAutospacing="1" w:after="100" w:afterAutospacing="1" w:line="276" w:lineRule="auto"/>
        <w:rPr>
          <w:rFonts w:eastAsia="Times New Roman" w:cs="Times New Roman"/>
          <w:szCs w:val="24"/>
        </w:rPr>
      </w:pPr>
      <w:r w:rsidRPr="00C87AF0">
        <w:rPr>
          <w:rFonts w:cs="Times New Roman"/>
        </w:rPr>
        <w:lastRenderedPageBreak/>
        <w:t xml:space="preserve">The data presented includes concentration values </w:t>
      </w:r>
      <m:oMath>
        <m:r>
          <w:rPr>
            <w:rFonts w:ascii="Cambria Math" w:hAnsi="Cambria Math" w:cs="Times New Roman"/>
          </w:rPr>
          <m:t>(Ce)</m:t>
        </m:r>
      </m:oMath>
      <w:r w:rsidRPr="00C87AF0">
        <w:rPr>
          <w:rFonts w:cs="Times New Roman"/>
        </w:rPr>
        <w:t xml:space="preserve"> in mg/L, adsorption capacities </w:t>
      </w:r>
      <m:oMath>
        <m:r>
          <w:rPr>
            <w:rFonts w:ascii="Cambria Math" w:hAnsi="Cambria Math" w:cs="Times New Roman"/>
          </w:rPr>
          <m:t>(Qe)</m:t>
        </m:r>
      </m:oMath>
      <w:r w:rsidRPr="00C87AF0">
        <w:rPr>
          <w:rFonts w:cs="Times New Roman"/>
        </w:rPr>
        <w:t xml:space="preserve"> in mg/g, and their logarithmic transformations, </w:t>
      </w:r>
      <m:oMath>
        <m:r>
          <w:rPr>
            <w:rFonts w:ascii="Cambria Math" w:hAnsi="Cambria Math" w:cs="Times New Roman"/>
          </w:rPr>
          <m:t>log(Ce)</m:t>
        </m:r>
      </m:oMath>
      <w:r w:rsidRPr="00C87AF0">
        <w:rPr>
          <w:rFonts w:cs="Times New Roman"/>
        </w:rPr>
        <w:t xml:space="preserve"> and </w:t>
      </w:r>
      <m:oMath>
        <m:r>
          <w:rPr>
            <w:rFonts w:ascii="Cambria Math" w:hAnsi="Cambria Math" w:cs="Times New Roman"/>
          </w:rPr>
          <m:t>log(Qe).</m:t>
        </m:r>
      </m:oMath>
      <w:r w:rsidRPr="00C87AF0">
        <w:rPr>
          <w:rFonts w:cs="Times New Roman"/>
        </w:rPr>
        <w:t xml:space="preserve"> The table reveals a range of </w:t>
      </w:r>
      <m:oMath>
        <m:r>
          <w:rPr>
            <w:rFonts w:ascii="Cambria Math" w:hAnsi="Cambria Math" w:cs="Times New Roman"/>
          </w:rPr>
          <m:t>Ce</m:t>
        </m:r>
      </m:oMath>
      <w:r w:rsidRPr="00C87AF0">
        <w:rPr>
          <w:rFonts w:cs="Times New Roman"/>
        </w:rPr>
        <w:t xml:space="preserve"> values from 7.26 mg/L to 21.24 mg/L, corresponding to </w:t>
      </w:r>
      <m:oMath>
        <m:r>
          <w:rPr>
            <w:rFonts w:ascii="Cambria Math" w:hAnsi="Cambria Math" w:cs="Times New Roman"/>
          </w:rPr>
          <m:t>Qe</m:t>
        </m:r>
      </m:oMath>
      <w:r w:rsidRPr="00C87AF0">
        <w:rPr>
          <w:rFonts w:cs="Times New Roman"/>
        </w:rPr>
        <w:t xml:space="preserve"> values that increase from 1.37 mg/g to 14.38 mg/g. As the concentration increases, a positive trend is observed in the log-transformed values of both </w:t>
      </w:r>
      <m:oMath>
        <m:r>
          <w:rPr>
            <w:rFonts w:ascii="Cambria Math" w:hAnsi="Cambria Math" w:cs="Times New Roman"/>
          </w:rPr>
          <m:t>Ce</m:t>
        </m:r>
      </m:oMath>
      <w:r w:rsidRPr="00C87AF0">
        <w:rPr>
          <w:rFonts w:cs="Times New Roman"/>
        </w:rPr>
        <w:t xml:space="preserve"> and </w:t>
      </w:r>
      <m:oMath>
        <m:r>
          <w:rPr>
            <w:rFonts w:ascii="Cambria Math" w:hAnsi="Cambria Math" w:cs="Times New Roman"/>
          </w:rPr>
          <m:t>Qe</m:t>
        </m:r>
      </m:oMath>
      <w:r w:rsidRPr="00C87AF0">
        <w:rPr>
          <w:rFonts w:cs="Times New Roman"/>
        </w:rPr>
        <w:t xml:space="preserve">, suggesting a nonlinear relationship between the initial concentration of the adsorbate and the amount adsorbed. Specifically, the </w:t>
      </w:r>
      <m:oMath>
        <m:r>
          <w:rPr>
            <w:rFonts w:ascii="Cambria Math" w:hAnsi="Cambria Math" w:cs="Times New Roman"/>
          </w:rPr>
          <m:t>log(Qe)</m:t>
        </m:r>
      </m:oMath>
      <w:r w:rsidRPr="00C87AF0">
        <w:rPr>
          <w:rFonts w:cs="Times New Roman"/>
        </w:rPr>
        <w:t xml:space="preserve"> values range from 0.137 to 1.156, indicating a significant increase in adsorption capacity with higher concentrations. This pattern reflects the potential adsorption efficiency of the material being studied and may assist in understanding the underlying mechanisms governing the adsorption process</w:t>
      </w:r>
    </w:p>
    <w:p w14:paraId="7DA835AF" w14:textId="77777777" w:rsidR="00267FC2" w:rsidRPr="00C87AF0" w:rsidRDefault="00267FC2" w:rsidP="00267FC2">
      <w:pPr>
        <w:keepNext/>
        <w:spacing w:line="276" w:lineRule="auto"/>
        <w:rPr>
          <w:rFonts w:cs="Times New Roman"/>
        </w:rPr>
      </w:pPr>
      <w:r w:rsidRPr="00C87AF0">
        <w:rPr>
          <w:rFonts w:cs="Times New Roman"/>
          <w:noProof/>
        </w:rPr>
        <w:drawing>
          <wp:inline distT="0" distB="0" distL="0" distR="0" wp14:anchorId="77E3FE28" wp14:editId="009A3C59">
            <wp:extent cx="59436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534" cy="2743631"/>
                    </a:xfrm>
                    <a:prstGeom prst="rect">
                      <a:avLst/>
                    </a:prstGeom>
                    <a:noFill/>
                    <a:ln>
                      <a:noFill/>
                    </a:ln>
                  </pic:spPr>
                </pic:pic>
              </a:graphicData>
            </a:graphic>
          </wp:inline>
        </w:drawing>
      </w:r>
    </w:p>
    <w:p w14:paraId="39208318" w14:textId="77777777" w:rsidR="00267FC2" w:rsidRPr="00C87AF0" w:rsidRDefault="00267FC2" w:rsidP="00267FC2">
      <w:pPr>
        <w:pStyle w:val="Caption"/>
        <w:spacing w:line="276" w:lineRule="auto"/>
        <w:jc w:val="center"/>
        <w:rPr>
          <w:rFonts w:cs="Times New Roman"/>
        </w:rPr>
      </w:pPr>
      <w:bookmarkStart w:id="3" w:name="_Toc180144713"/>
      <w:r>
        <w:rPr>
          <w:rFonts w:cs="Times New Roman"/>
          <w:b/>
        </w:rPr>
        <w:t>Figure 4.</w:t>
      </w:r>
      <w:r w:rsidRPr="00453381">
        <w:rPr>
          <w:rFonts w:cs="Times New Roman"/>
          <w:b/>
        </w:rPr>
        <w:fldChar w:fldCharType="begin"/>
      </w:r>
      <w:r w:rsidRPr="00453381">
        <w:rPr>
          <w:rFonts w:cs="Times New Roman"/>
          <w:b/>
        </w:rPr>
        <w:instrText xml:space="preserve"> SEQ Figure_4. \* ARABIC </w:instrText>
      </w:r>
      <w:r w:rsidRPr="00453381">
        <w:rPr>
          <w:rFonts w:cs="Times New Roman"/>
          <w:b/>
        </w:rPr>
        <w:fldChar w:fldCharType="separate"/>
      </w:r>
      <w:r w:rsidRPr="00453381">
        <w:rPr>
          <w:rFonts w:cs="Times New Roman"/>
          <w:b/>
          <w:noProof/>
        </w:rPr>
        <w:t>8</w:t>
      </w:r>
      <w:r w:rsidRPr="00453381">
        <w:rPr>
          <w:rFonts w:cs="Times New Roman"/>
          <w:b/>
        </w:rPr>
        <w:fldChar w:fldCharType="end"/>
      </w:r>
      <w:r w:rsidRPr="00453381">
        <w:rPr>
          <w:rFonts w:cs="Times New Roman"/>
          <w:b/>
          <w:szCs w:val="24"/>
        </w:rPr>
        <w:t>:</w:t>
      </w:r>
      <w:r w:rsidRPr="00C87AF0">
        <w:rPr>
          <w:rFonts w:cs="Times New Roman"/>
          <w:szCs w:val="24"/>
        </w:rPr>
        <w:t xml:space="preserve"> Freundlich isotherm model plot.</w:t>
      </w:r>
      <w:bookmarkEnd w:id="3"/>
    </w:p>
    <w:p w14:paraId="2F5207C3" w14:textId="77777777" w:rsidR="00267FC2" w:rsidRPr="00C87AF0" w:rsidRDefault="00267FC2" w:rsidP="00267FC2">
      <w:pPr>
        <w:spacing w:before="100" w:beforeAutospacing="1" w:after="100" w:afterAutospacing="1" w:line="276" w:lineRule="auto"/>
        <w:rPr>
          <w:rFonts w:eastAsia="Times New Roman" w:cs="Times New Roman"/>
          <w:szCs w:val="24"/>
        </w:rPr>
      </w:pPr>
      <w:r w:rsidRPr="00C87AF0">
        <w:rPr>
          <w:rFonts w:eastAsia="Times New Roman" w:cs="Times New Roman"/>
          <w:szCs w:val="24"/>
        </w:rPr>
        <w:t>The Freundlich isotherm model provides insight into the adsorption process on heterogeneous surfaces. Based on the calculated parameters, the adsorption intensity n≈1.37 suggests moderate favorability</w:t>
      </w:r>
      <w:r>
        <w:rPr>
          <w:rFonts w:eastAsia="Times New Roman" w:cs="Times New Roman"/>
          <w:szCs w:val="24"/>
        </w:rPr>
        <w:t xml:space="preserve"> of adsorption, as values of n</w:t>
      </w:r>
      <w:r w:rsidRPr="00C87AF0">
        <w:rPr>
          <w:rFonts w:eastAsia="Times New Roman" w:cs="Times New Roman"/>
          <w:szCs w:val="24"/>
        </w:rPr>
        <w:t xml:space="preserve"> between 1 and 10 indicate f</w:t>
      </w:r>
      <w:r>
        <w:rPr>
          <w:rFonts w:eastAsia="Times New Roman" w:cs="Times New Roman"/>
          <w:szCs w:val="24"/>
        </w:rPr>
        <w:t>avorable adsorption. A lower n</w:t>
      </w:r>
      <w:r w:rsidRPr="00C87AF0">
        <w:rPr>
          <w:rFonts w:eastAsia="Times New Roman" w:cs="Times New Roman"/>
          <w:szCs w:val="24"/>
        </w:rPr>
        <w:t xml:space="preserve"> value closer to 1 means that the adsorption sites have similar energy, implying more homogeneity. The Freundlich constant KF≈3.66 represents the adsorption capacity of the material. This value indicates a moderate capacity for adsorption, with the material showing reasonable adsorption potential at low concentrations of the adsorbate. Overall, these parameters suggest that the material exhibits good but not exceptionally high adsorption, with a fairly uniform distribution of adsorption sites.</w:t>
      </w:r>
    </w:p>
    <w:p w14:paraId="790087B9" w14:textId="77777777" w:rsidR="00267FC2" w:rsidRPr="00C87AF0" w:rsidRDefault="00267FC2" w:rsidP="00267FC2">
      <w:pPr>
        <w:pStyle w:val="Heading4"/>
        <w:spacing w:line="276" w:lineRule="auto"/>
      </w:pPr>
      <w:r w:rsidRPr="00C87AF0">
        <w:t>4.4.1.3 The Temkin isotherm</w:t>
      </w:r>
    </w:p>
    <w:p w14:paraId="2463B3C7" w14:textId="77777777" w:rsidR="00267FC2" w:rsidRDefault="00267FC2" w:rsidP="00267FC2">
      <w:pPr>
        <w:spacing w:before="100" w:beforeAutospacing="1" w:after="100" w:afterAutospacing="1" w:line="276" w:lineRule="auto"/>
        <w:rPr>
          <w:rFonts w:cs="Times New Roman"/>
        </w:rPr>
      </w:pPr>
      <w:r w:rsidRPr="00C87AF0">
        <w:rPr>
          <w:rFonts w:cs="Times New Roman"/>
        </w:rPr>
        <w:t xml:space="preserve">The Temkin isotherm describes the adsorption behavior by assuming that the heat of adsorption decreases linearly with increasing coverage due to adsorbate-adsorbate interactions. In this study, the Temkin model was fitted to the adsorption data of Methylene Blue (MB) onto the synthesized material. The parameters obtained from the fitting, including constant </w:t>
      </w:r>
      <w:r w:rsidRPr="00C87AF0">
        <w:rPr>
          <w:rStyle w:val="katex-mathml"/>
          <w:rFonts w:cs="Times New Roman"/>
        </w:rPr>
        <w:t>A</w:t>
      </w:r>
      <w:r w:rsidRPr="00C87AF0">
        <w:rPr>
          <w:rFonts w:cs="Times New Roman"/>
        </w:rPr>
        <w:t xml:space="preserve"> (related to the adsorption potential) and constant </w:t>
      </w:r>
      <w:r w:rsidRPr="00C87AF0">
        <w:rPr>
          <w:rStyle w:val="katex-mathml"/>
          <w:rFonts w:cs="Times New Roman"/>
        </w:rPr>
        <w:t>BB</w:t>
      </w:r>
      <w:r w:rsidRPr="00C87AF0">
        <w:rPr>
          <w:rStyle w:val="mord"/>
          <w:rFonts w:cs="Times New Roman"/>
        </w:rPr>
        <w:t>B</w:t>
      </w:r>
      <w:r w:rsidRPr="00C87AF0">
        <w:rPr>
          <w:rFonts w:cs="Times New Roman"/>
        </w:rPr>
        <w:t xml:space="preserve"> (related to the adsorption heat), provide insights </w:t>
      </w:r>
      <w:r w:rsidRPr="00C87AF0">
        <w:rPr>
          <w:rFonts w:cs="Times New Roman"/>
        </w:rPr>
        <w:lastRenderedPageBreak/>
        <w:t xml:space="preserve">into the adsorption process. A moderate </w:t>
      </w:r>
      <w:r w:rsidRPr="00C87AF0">
        <w:rPr>
          <w:rStyle w:val="mord"/>
          <w:rFonts w:cs="Times New Roman"/>
        </w:rPr>
        <w:t>R</w:t>
      </w:r>
      <w:r w:rsidRPr="00C87AF0">
        <w:rPr>
          <w:rStyle w:val="mord"/>
          <w:rFonts w:cs="Times New Roman"/>
          <w:vertAlign w:val="superscript"/>
        </w:rPr>
        <w:t>2</w:t>
      </w:r>
      <w:r w:rsidRPr="00C87AF0">
        <w:rPr>
          <w:rFonts w:cs="Times New Roman"/>
        </w:rPr>
        <w:t xml:space="preserve"> value indicates a reasonably good fit, suggesting that the adsorption of MB follows the Temkin isotherm to some extent, with a significant interaction between the adsorbed molecules. The linear decrease in adsorption energy implies that as more MB molecules are adsorbed, the adsorptive forces weaken, which is typical for this model.</w:t>
      </w:r>
    </w:p>
    <w:p w14:paraId="1FF49E9B" w14:textId="77777777" w:rsidR="00267FC2" w:rsidRDefault="00267FC2" w:rsidP="00267FC2">
      <w:pPr>
        <w:spacing w:before="100" w:beforeAutospacing="1" w:after="100" w:afterAutospacing="1" w:line="276" w:lineRule="auto"/>
        <w:rPr>
          <w:rFonts w:cs="Times New Roman"/>
        </w:rPr>
      </w:pPr>
    </w:p>
    <w:p w14:paraId="06755476" w14:textId="77777777" w:rsidR="00267FC2" w:rsidRPr="00C87AF0" w:rsidRDefault="00267FC2" w:rsidP="00267FC2">
      <w:pPr>
        <w:spacing w:before="100" w:beforeAutospacing="1" w:after="100" w:afterAutospacing="1" w:line="276" w:lineRule="auto"/>
        <w:rPr>
          <w:rFonts w:cs="Times New Roman"/>
        </w:rPr>
      </w:pPr>
    </w:p>
    <w:p w14:paraId="5E35F687" w14:textId="77777777" w:rsidR="00267FC2" w:rsidRPr="00453381" w:rsidRDefault="00267FC2" w:rsidP="00267FC2">
      <w:pPr>
        <w:spacing w:before="100" w:beforeAutospacing="1" w:after="100" w:afterAutospacing="1" w:line="276" w:lineRule="auto"/>
        <w:rPr>
          <w:rFonts w:eastAsia="Times New Roman" w:cs="Times New Roman"/>
          <w:b/>
          <w:szCs w:val="24"/>
        </w:rPr>
      </w:pPr>
      <w:bookmarkStart w:id="4" w:name="_Toc180056591"/>
      <w:r w:rsidRPr="00453381">
        <w:rPr>
          <w:rFonts w:cs="Times New Roman"/>
          <w:b/>
        </w:rPr>
        <w:t xml:space="preserve">Table 4. </w:t>
      </w:r>
      <w:r w:rsidRPr="00453381">
        <w:rPr>
          <w:rFonts w:cs="Times New Roman"/>
          <w:b/>
        </w:rPr>
        <w:fldChar w:fldCharType="begin"/>
      </w:r>
      <w:r w:rsidRPr="00453381">
        <w:rPr>
          <w:rFonts w:cs="Times New Roman"/>
          <w:b/>
        </w:rPr>
        <w:instrText xml:space="preserve"> SEQ Table_4. \* ARABIC </w:instrText>
      </w:r>
      <w:r w:rsidRPr="00453381">
        <w:rPr>
          <w:rFonts w:cs="Times New Roman"/>
          <w:b/>
        </w:rPr>
        <w:fldChar w:fldCharType="separate"/>
      </w:r>
      <w:r w:rsidRPr="00453381">
        <w:rPr>
          <w:rFonts w:cs="Times New Roman"/>
          <w:b/>
          <w:noProof/>
        </w:rPr>
        <w:t>5</w:t>
      </w:r>
      <w:r w:rsidRPr="00453381">
        <w:rPr>
          <w:rFonts w:cs="Times New Roman"/>
          <w:b/>
        </w:rPr>
        <w:fldChar w:fldCharType="end"/>
      </w:r>
      <w:r w:rsidRPr="00453381">
        <w:rPr>
          <w:rFonts w:cs="Times New Roman"/>
          <w:b/>
        </w:rPr>
        <w:t xml:space="preserve">: </w:t>
      </w:r>
      <w:r w:rsidRPr="00D14E9A">
        <w:rPr>
          <w:rFonts w:eastAsia="Times New Roman" w:cs="Times New Roman"/>
          <w:szCs w:val="24"/>
        </w:rPr>
        <w:t>presents the data used for fitting the</w:t>
      </w:r>
      <w:r w:rsidRPr="00453381">
        <w:rPr>
          <w:rFonts w:eastAsia="Times New Roman" w:cs="Times New Roman"/>
          <w:b/>
          <w:szCs w:val="24"/>
        </w:rPr>
        <w:t xml:space="preserve"> </w:t>
      </w:r>
      <w:r w:rsidRPr="00453381">
        <w:rPr>
          <w:rStyle w:val="Strong"/>
          <w:rFonts w:cs="Times New Roman"/>
        </w:rPr>
        <w:t>Temkin Isotherm</w:t>
      </w:r>
      <w:r>
        <w:rPr>
          <w:rFonts w:eastAsia="Times New Roman" w:cs="Times New Roman"/>
          <w:b/>
          <w:szCs w:val="24"/>
        </w:rPr>
        <w:t>.</w:t>
      </w:r>
      <w:bookmarkEnd w:id="4"/>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0"/>
        <w:gridCol w:w="3010"/>
        <w:gridCol w:w="3006"/>
      </w:tblGrid>
      <w:tr w:rsidR="00267FC2" w:rsidRPr="00C87AF0" w14:paraId="08B87C40" w14:textId="77777777" w:rsidTr="00AE6801">
        <w:tc>
          <w:tcPr>
            <w:tcW w:w="3116" w:type="dxa"/>
            <w:tcBorders>
              <w:top w:val="single" w:sz="4" w:space="0" w:color="auto"/>
              <w:bottom w:val="single" w:sz="4" w:space="0" w:color="auto"/>
            </w:tcBorders>
            <w:vAlign w:val="center"/>
            <w:hideMark/>
          </w:tcPr>
          <w:p w14:paraId="573F73B5" w14:textId="77777777" w:rsidR="00267FC2" w:rsidRPr="00C87AF0" w:rsidRDefault="00267FC2" w:rsidP="00AE6801">
            <w:pPr>
              <w:spacing w:line="276" w:lineRule="auto"/>
              <w:rPr>
                <w:rFonts w:eastAsia="Times New Roman" w:cs="Times New Roman"/>
                <w:b/>
                <w:bCs/>
                <w:szCs w:val="24"/>
              </w:rPr>
            </w:pPr>
            <m:oMathPara>
              <m:oMath>
                <m:r>
                  <m:rPr>
                    <m:sty m:val="bi"/>
                  </m:rPr>
                  <w:rPr>
                    <w:rFonts w:ascii="Cambria Math" w:eastAsia="Times New Roman" w:hAnsi="Cambria Math" w:cs="Times New Roman"/>
                    <w:szCs w:val="24"/>
                  </w:rPr>
                  <m:t>Ce​ (mg/L)</m:t>
                </m:r>
              </m:oMath>
            </m:oMathPara>
          </w:p>
        </w:tc>
        <w:tc>
          <w:tcPr>
            <w:tcW w:w="3117" w:type="dxa"/>
            <w:tcBorders>
              <w:top w:val="single" w:sz="4" w:space="0" w:color="auto"/>
              <w:bottom w:val="single" w:sz="4" w:space="0" w:color="auto"/>
            </w:tcBorders>
            <w:vAlign w:val="center"/>
            <w:hideMark/>
          </w:tcPr>
          <w:p w14:paraId="3846B85A" w14:textId="77777777" w:rsidR="00267FC2" w:rsidRPr="00C87AF0" w:rsidRDefault="00267FC2" w:rsidP="00AE6801">
            <w:pPr>
              <w:spacing w:line="276" w:lineRule="auto"/>
              <w:rPr>
                <w:rFonts w:eastAsia="Times New Roman" w:cs="Times New Roman"/>
                <w:b/>
                <w:bCs/>
                <w:szCs w:val="24"/>
              </w:rPr>
            </w:pPr>
            <m:oMathPara>
              <m:oMath>
                <m:r>
                  <m:rPr>
                    <m:sty m:val="bi"/>
                  </m:rPr>
                  <w:rPr>
                    <w:rFonts w:ascii="Cambria Math" w:eastAsia="Times New Roman" w:hAnsi="Cambria Math" w:cs="Times New Roman"/>
                    <w:szCs w:val="24"/>
                  </w:rPr>
                  <m:t>qe​ (mg/g)</m:t>
                </m:r>
              </m:oMath>
            </m:oMathPara>
          </w:p>
        </w:tc>
        <w:tc>
          <w:tcPr>
            <w:tcW w:w="3117" w:type="dxa"/>
            <w:tcBorders>
              <w:top w:val="single" w:sz="4" w:space="0" w:color="auto"/>
              <w:bottom w:val="single" w:sz="4" w:space="0" w:color="auto"/>
            </w:tcBorders>
            <w:vAlign w:val="center"/>
            <w:hideMark/>
          </w:tcPr>
          <w:p w14:paraId="0C1B271F" w14:textId="77777777" w:rsidR="00267FC2" w:rsidRPr="00C87AF0" w:rsidRDefault="00267FC2" w:rsidP="00AE6801">
            <w:pPr>
              <w:spacing w:line="276" w:lineRule="auto"/>
              <w:rPr>
                <w:rFonts w:eastAsia="Times New Roman" w:cs="Times New Roman"/>
                <w:b/>
                <w:bCs/>
                <w:szCs w:val="24"/>
              </w:rPr>
            </w:pPr>
            <m:oMathPara>
              <m:oMath>
                <m:r>
                  <m:rPr>
                    <m:sty m:val="bi"/>
                  </m:rPr>
                  <w:rPr>
                    <w:rFonts w:ascii="Cambria Math" w:eastAsia="Times New Roman" w:hAnsi="Cambria Math" w:cs="Times New Roman"/>
                    <w:szCs w:val="24"/>
                  </w:rPr>
                  <m:t>ln(Ce​)</m:t>
                </m:r>
              </m:oMath>
            </m:oMathPara>
          </w:p>
        </w:tc>
      </w:tr>
      <w:tr w:rsidR="00267FC2" w:rsidRPr="00C87AF0" w14:paraId="7344C619" w14:textId="77777777" w:rsidTr="00AE6801">
        <w:tc>
          <w:tcPr>
            <w:tcW w:w="3116" w:type="dxa"/>
            <w:tcBorders>
              <w:top w:val="single" w:sz="4" w:space="0" w:color="auto"/>
            </w:tcBorders>
            <w:vAlign w:val="center"/>
            <w:hideMark/>
          </w:tcPr>
          <w:p w14:paraId="28834844"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2.74</w:t>
            </w:r>
          </w:p>
        </w:tc>
        <w:tc>
          <w:tcPr>
            <w:tcW w:w="3117" w:type="dxa"/>
            <w:tcBorders>
              <w:top w:val="single" w:sz="4" w:space="0" w:color="auto"/>
            </w:tcBorders>
            <w:vAlign w:val="center"/>
            <w:hideMark/>
          </w:tcPr>
          <w:p w14:paraId="4F782834"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1.37</w:t>
            </w:r>
          </w:p>
        </w:tc>
        <w:tc>
          <w:tcPr>
            <w:tcW w:w="3117" w:type="dxa"/>
            <w:tcBorders>
              <w:top w:val="single" w:sz="4" w:space="0" w:color="auto"/>
            </w:tcBorders>
            <w:vAlign w:val="center"/>
            <w:hideMark/>
          </w:tcPr>
          <w:p w14:paraId="4FAB2204"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1.008</w:t>
            </w:r>
          </w:p>
        </w:tc>
      </w:tr>
      <w:tr w:rsidR="00267FC2" w:rsidRPr="00C87AF0" w14:paraId="2135264A" w14:textId="77777777" w:rsidTr="00AE6801">
        <w:tc>
          <w:tcPr>
            <w:tcW w:w="3116" w:type="dxa"/>
            <w:vAlign w:val="center"/>
            <w:hideMark/>
          </w:tcPr>
          <w:p w14:paraId="30709456"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4.76</w:t>
            </w:r>
          </w:p>
        </w:tc>
        <w:tc>
          <w:tcPr>
            <w:tcW w:w="3117" w:type="dxa"/>
            <w:vAlign w:val="center"/>
            <w:hideMark/>
          </w:tcPr>
          <w:p w14:paraId="69F76668"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2.38</w:t>
            </w:r>
          </w:p>
        </w:tc>
        <w:tc>
          <w:tcPr>
            <w:tcW w:w="3117" w:type="dxa"/>
            <w:vAlign w:val="center"/>
            <w:hideMark/>
          </w:tcPr>
          <w:p w14:paraId="53208257"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1.557</w:t>
            </w:r>
          </w:p>
        </w:tc>
      </w:tr>
      <w:tr w:rsidR="00267FC2" w:rsidRPr="00C87AF0" w14:paraId="40ED7C4F" w14:textId="77777777" w:rsidTr="00AE6801">
        <w:tc>
          <w:tcPr>
            <w:tcW w:w="3116" w:type="dxa"/>
            <w:vAlign w:val="center"/>
            <w:hideMark/>
          </w:tcPr>
          <w:p w14:paraId="0F0AA0D4"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10.62</w:t>
            </w:r>
          </w:p>
        </w:tc>
        <w:tc>
          <w:tcPr>
            <w:tcW w:w="3117" w:type="dxa"/>
            <w:vAlign w:val="center"/>
            <w:hideMark/>
          </w:tcPr>
          <w:p w14:paraId="25C8A47B"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5.31</w:t>
            </w:r>
          </w:p>
        </w:tc>
        <w:tc>
          <w:tcPr>
            <w:tcW w:w="3117" w:type="dxa"/>
            <w:vAlign w:val="center"/>
            <w:hideMark/>
          </w:tcPr>
          <w:p w14:paraId="1D5AD6C1"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2.363</w:t>
            </w:r>
          </w:p>
        </w:tc>
      </w:tr>
      <w:tr w:rsidR="00267FC2" w:rsidRPr="00C87AF0" w14:paraId="66C14535" w14:textId="77777777" w:rsidTr="00AE6801">
        <w:tc>
          <w:tcPr>
            <w:tcW w:w="3116" w:type="dxa"/>
            <w:vAlign w:val="center"/>
            <w:hideMark/>
          </w:tcPr>
          <w:p w14:paraId="71C6C680"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8.78</w:t>
            </w:r>
          </w:p>
        </w:tc>
        <w:tc>
          <w:tcPr>
            <w:tcW w:w="3117" w:type="dxa"/>
            <w:vAlign w:val="center"/>
            <w:hideMark/>
          </w:tcPr>
          <w:p w14:paraId="71BA1A9A"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4.39</w:t>
            </w:r>
          </w:p>
        </w:tc>
        <w:tc>
          <w:tcPr>
            <w:tcW w:w="3117" w:type="dxa"/>
            <w:vAlign w:val="center"/>
            <w:hideMark/>
          </w:tcPr>
          <w:p w14:paraId="0B9B7AC3"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2.166</w:t>
            </w:r>
          </w:p>
        </w:tc>
      </w:tr>
      <w:tr w:rsidR="00267FC2" w:rsidRPr="00C87AF0" w14:paraId="30982BC7" w14:textId="77777777" w:rsidTr="00AE6801">
        <w:tc>
          <w:tcPr>
            <w:tcW w:w="3116" w:type="dxa"/>
            <w:vAlign w:val="center"/>
            <w:hideMark/>
          </w:tcPr>
          <w:p w14:paraId="1F88EF34"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15.37</w:t>
            </w:r>
          </w:p>
        </w:tc>
        <w:tc>
          <w:tcPr>
            <w:tcW w:w="3117" w:type="dxa"/>
            <w:vAlign w:val="center"/>
            <w:hideMark/>
          </w:tcPr>
          <w:p w14:paraId="634D5569"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7.69</w:t>
            </w:r>
          </w:p>
        </w:tc>
        <w:tc>
          <w:tcPr>
            <w:tcW w:w="3117" w:type="dxa"/>
            <w:vAlign w:val="center"/>
            <w:hideMark/>
          </w:tcPr>
          <w:p w14:paraId="28D28DD7"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2.743</w:t>
            </w:r>
          </w:p>
        </w:tc>
      </w:tr>
      <w:tr w:rsidR="00267FC2" w:rsidRPr="00C87AF0" w14:paraId="54B2E2C4" w14:textId="77777777" w:rsidTr="00AE6801">
        <w:tc>
          <w:tcPr>
            <w:tcW w:w="3116" w:type="dxa"/>
            <w:vAlign w:val="center"/>
            <w:hideMark/>
          </w:tcPr>
          <w:p w14:paraId="58D42D62"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15.89</w:t>
            </w:r>
          </w:p>
        </w:tc>
        <w:tc>
          <w:tcPr>
            <w:tcW w:w="3117" w:type="dxa"/>
            <w:vAlign w:val="center"/>
            <w:hideMark/>
          </w:tcPr>
          <w:p w14:paraId="5EDDFC5D"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7.95</w:t>
            </w:r>
          </w:p>
        </w:tc>
        <w:tc>
          <w:tcPr>
            <w:tcW w:w="3117" w:type="dxa"/>
            <w:vAlign w:val="center"/>
            <w:hideMark/>
          </w:tcPr>
          <w:p w14:paraId="05276DFB"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2.759</w:t>
            </w:r>
          </w:p>
        </w:tc>
      </w:tr>
      <w:tr w:rsidR="00267FC2" w:rsidRPr="00C87AF0" w14:paraId="423D8AAB" w14:textId="77777777" w:rsidTr="00AE6801">
        <w:tc>
          <w:tcPr>
            <w:tcW w:w="3116" w:type="dxa"/>
            <w:vAlign w:val="center"/>
            <w:hideMark/>
          </w:tcPr>
          <w:p w14:paraId="6DB255F6"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19.28</w:t>
            </w:r>
          </w:p>
        </w:tc>
        <w:tc>
          <w:tcPr>
            <w:tcW w:w="3117" w:type="dxa"/>
            <w:vAlign w:val="center"/>
            <w:hideMark/>
          </w:tcPr>
          <w:p w14:paraId="6D98B99F"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9.64</w:t>
            </w:r>
          </w:p>
        </w:tc>
        <w:tc>
          <w:tcPr>
            <w:tcW w:w="3117" w:type="dxa"/>
            <w:vAlign w:val="center"/>
            <w:hideMark/>
          </w:tcPr>
          <w:p w14:paraId="17160153"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2.959</w:t>
            </w:r>
          </w:p>
        </w:tc>
      </w:tr>
      <w:tr w:rsidR="00267FC2" w:rsidRPr="00C87AF0" w14:paraId="681BD495" w14:textId="77777777" w:rsidTr="00AE6801">
        <w:tc>
          <w:tcPr>
            <w:tcW w:w="3116" w:type="dxa"/>
            <w:vAlign w:val="center"/>
            <w:hideMark/>
          </w:tcPr>
          <w:p w14:paraId="4DFDA0D4"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28.76</w:t>
            </w:r>
          </w:p>
        </w:tc>
        <w:tc>
          <w:tcPr>
            <w:tcW w:w="3117" w:type="dxa"/>
            <w:vAlign w:val="center"/>
            <w:hideMark/>
          </w:tcPr>
          <w:p w14:paraId="160FD5A3"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14.38</w:t>
            </w:r>
          </w:p>
        </w:tc>
        <w:tc>
          <w:tcPr>
            <w:tcW w:w="3117" w:type="dxa"/>
            <w:vAlign w:val="center"/>
            <w:hideMark/>
          </w:tcPr>
          <w:p w14:paraId="788381EA" w14:textId="77777777" w:rsidR="00267FC2" w:rsidRPr="00C87AF0" w:rsidRDefault="00267FC2" w:rsidP="00AE6801">
            <w:pPr>
              <w:spacing w:line="276" w:lineRule="auto"/>
              <w:rPr>
                <w:rFonts w:eastAsia="Times New Roman" w:cs="Times New Roman"/>
                <w:szCs w:val="24"/>
              </w:rPr>
            </w:pPr>
            <w:r w:rsidRPr="00C87AF0">
              <w:rPr>
                <w:rFonts w:eastAsia="Times New Roman" w:cs="Times New Roman"/>
                <w:szCs w:val="24"/>
              </w:rPr>
              <w:t>3.360</w:t>
            </w:r>
          </w:p>
        </w:tc>
      </w:tr>
    </w:tbl>
    <w:p w14:paraId="0EB74B99" w14:textId="77777777" w:rsidR="00267FC2" w:rsidRPr="00C87AF0" w:rsidRDefault="00267FC2" w:rsidP="00267FC2">
      <w:pPr>
        <w:spacing w:before="100" w:beforeAutospacing="1" w:after="0" w:line="240" w:lineRule="auto"/>
        <w:rPr>
          <w:rFonts w:eastAsia="Times New Roman" w:cs="Times New Roman"/>
          <w:szCs w:val="24"/>
        </w:rPr>
      </w:pPr>
      <w:r w:rsidRPr="00C87AF0">
        <w:rPr>
          <w:rFonts w:eastAsia="Times New Roman" w:cs="Times New Roman"/>
          <w:szCs w:val="24"/>
        </w:rPr>
        <w:t xml:space="preserve">Table 4.5 summarizes the data used for fitting the Temkin Isotherm, detailing the equilibrium concentrations </w:t>
      </w:r>
      <m:oMath>
        <m:r>
          <w:rPr>
            <w:rFonts w:ascii="Cambria Math" w:eastAsia="Times New Roman" w:hAnsi="Cambria Math" w:cs="Times New Roman"/>
            <w:szCs w:val="24"/>
          </w:rPr>
          <m:t>(Ce)</m:t>
        </m:r>
      </m:oMath>
      <w:r w:rsidRPr="00C87AF0">
        <w:rPr>
          <w:rFonts w:eastAsia="Times New Roman" w:cs="Times New Roman"/>
          <w:szCs w:val="24"/>
        </w:rPr>
        <w:t xml:space="preserve"> of Methylene Blue (MB) in mg/L and the corresponding adsorption capacities </w:t>
      </w:r>
      <m:oMath>
        <m:r>
          <w:rPr>
            <w:rFonts w:ascii="Cambria Math" w:eastAsia="Times New Roman" w:hAnsi="Cambria Math" w:cs="Times New Roman"/>
            <w:szCs w:val="24"/>
          </w:rPr>
          <m:t>(qe)</m:t>
        </m:r>
      </m:oMath>
      <w:r w:rsidRPr="00C87AF0">
        <w:rPr>
          <w:rFonts w:eastAsia="Times New Roman" w:cs="Times New Roman"/>
          <w:szCs w:val="24"/>
        </w:rPr>
        <w:t xml:space="preserve"> in mg/g, alongside their natural logarithmic transformations </w:t>
      </w:r>
      <m:oMath>
        <m:r>
          <w:rPr>
            <w:rFonts w:ascii="Cambria Math" w:eastAsia="Times New Roman" w:hAnsi="Cambria Math" w:cs="Times New Roman"/>
            <w:szCs w:val="24"/>
          </w:rPr>
          <m:t>(ln(Ce)).</m:t>
        </m:r>
      </m:oMath>
      <w:r w:rsidRPr="00C87AF0">
        <w:rPr>
          <w:rFonts w:eastAsia="Times New Roman" w:cs="Times New Roman"/>
          <w:szCs w:val="24"/>
        </w:rPr>
        <w:t xml:space="preserve"> The data reveals a range of equilibrium concentrations from 2.74 mg/L to 28.76 mg/L, with corresponding adsorption capacities varying from 1.37 mg/g to 14.38 mg/g. As the concentration of MB increases, the adsorption capacity also tends to rise, indicating a positive relationship between </w:t>
      </w:r>
      <m:oMath>
        <m:r>
          <w:rPr>
            <w:rFonts w:ascii="Cambria Math" w:eastAsia="Times New Roman" w:hAnsi="Cambria Math" w:cs="Times New Roman"/>
            <w:szCs w:val="24"/>
          </w:rPr>
          <m:t>Ce</m:t>
        </m:r>
      </m:oMath>
      <w:r w:rsidRPr="00C87AF0">
        <w:rPr>
          <w:rFonts w:eastAsia="Times New Roman" w:cs="Times New Roman"/>
          <w:szCs w:val="24"/>
        </w:rPr>
        <w:t xml:space="preserve"> and </w:t>
      </w:r>
      <m:oMath>
        <m:r>
          <w:rPr>
            <w:rFonts w:ascii="Cambria Math" w:eastAsia="Times New Roman" w:hAnsi="Cambria Math" w:cs="Times New Roman"/>
            <w:szCs w:val="24"/>
          </w:rPr>
          <m:t>qe.</m:t>
        </m:r>
      </m:oMath>
      <w:r w:rsidRPr="00C87AF0">
        <w:rPr>
          <w:rFonts w:eastAsia="Times New Roman" w:cs="Times New Roman"/>
          <w:szCs w:val="24"/>
        </w:rPr>
        <w:t xml:space="preserve"> The natural logarithm of the equilibrium concentration </w:t>
      </w:r>
      <m:oMath>
        <m:r>
          <w:rPr>
            <w:rFonts w:ascii="Cambria Math" w:eastAsia="Times New Roman" w:hAnsi="Cambria Math" w:cs="Times New Roman"/>
            <w:szCs w:val="24"/>
          </w:rPr>
          <m:t>(ln(Ce))</m:t>
        </m:r>
      </m:oMath>
      <w:r w:rsidRPr="00C87AF0">
        <w:rPr>
          <w:rFonts w:eastAsia="Times New Roman" w:cs="Times New Roman"/>
          <w:szCs w:val="24"/>
        </w:rPr>
        <w:t xml:space="preserve"> ranges from approximately 1.008 to 3.360, reflecting an exponential increase in the concentration values. This trend suggests that higher concentrations of MB lead to greater adsor</w:t>
      </w:r>
      <w:proofErr w:type="spellStart"/>
      <w:r w:rsidRPr="00C87AF0">
        <w:rPr>
          <w:rFonts w:eastAsia="Times New Roman" w:cs="Times New Roman"/>
          <w:szCs w:val="24"/>
        </w:rPr>
        <w:t>ption</w:t>
      </w:r>
      <w:proofErr w:type="spellEnd"/>
      <w:r w:rsidRPr="00C87AF0">
        <w:rPr>
          <w:rFonts w:eastAsia="Times New Roman" w:cs="Times New Roman"/>
          <w:szCs w:val="24"/>
        </w:rPr>
        <w:t>, consistent with the underlying principles of the Temkin isotherm, which accounts for interactions between adsorbate molecules on the adsorbent surface. Overall, the data indicates that the Temkin isotherm may effectively characterize the adsorption behavior of MB on the chosen adsorbent under the examined conditions.</w:t>
      </w:r>
    </w:p>
    <w:p w14:paraId="28DBDC8A" w14:textId="77777777" w:rsidR="00267FC2" w:rsidRPr="00C87AF0" w:rsidRDefault="00267FC2" w:rsidP="00267FC2">
      <w:pPr>
        <w:spacing w:before="100" w:beforeAutospacing="1" w:after="0" w:line="240" w:lineRule="auto"/>
        <w:rPr>
          <w:rFonts w:eastAsia="Times New Roman" w:cs="Times New Roman"/>
          <w:szCs w:val="24"/>
        </w:rPr>
      </w:pPr>
      <w:r w:rsidRPr="00C87AF0">
        <w:rPr>
          <w:rFonts w:eastAsia="Times New Roman" w:cs="Times New Roman"/>
          <w:noProof/>
          <w:szCs w:val="24"/>
        </w:rPr>
        <w:lastRenderedPageBreak/>
        <w:drawing>
          <wp:inline distT="0" distB="0" distL="0" distR="0" wp14:anchorId="3809C087" wp14:editId="692BDC99">
            <wp:extent cx="5941596" cy="2721428"/>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8109" cy="2728991"/>
                    </a:xfrm>
                    <a:prstGeom prst="rect">
                      <a:avLst/>
                    </a:prstGeom>
                    <a:noFill/>
                    <a:ln>
                      <a:noFill/>
                    </a:ln>
                  </pic:spPr>
                </pic:pic>
              </a:graphicData>
            </a:graphic>
          </wp:inline>
        </w:drawing>
      </w:r>
    </w:p>
    <w:p w14:paraId="15A85734" w14:textId="77777777" w:rsidR="00267FC2" w:rsidRPr="00453381" w:rsidRDefault="00267FC2" w:rsidP="00267FC2">
      <w:pPr>
        <w:pStyle w:val="Caption"/>
        <w:spacing w:line="276" w:lineRule="auto"/>
        <w:rPr>
          <w:rFonts w:eastAsia="Times New Roman" w:cs="Times New Roman"/>
          <w:b/>
          <w:szCs w:val="24"/>
        </w:rPr>
      </w:pPr>
      <w:bookmarkStart w:id="5" w:name="_Toc180144714"/>
      <w:r w:rsidRPr="00453381">
        <w:rPr>
          <w:rFonts w:cs="Times New Roman"/>
          <w:b/>
        </w:rPr>
        <w:t xml:space="preserve">Figure 4. </w:t>
      </w:r>
      <w:r w:rsidRPr="00453381">
        <w:rPr>
          <w:rFonts w:cs="Times New Roman"/>
          <w:b/>
        </w:rPr>
        <w:fldChar w:fldCharType="begin"/>
      </w:r>
      <w:r w:rsidRPr="00453381">
        <w:rPr>
          <w:rFonts w:cs="Times New Roman"/>
          <w:b/>
        </w:rPr>
        <w:instrText xml:space="preserve"> SEQ Figure_4. \* ARABIC </w:instrText>
      </w:r>
      <w:r w:rsidRPr="00453381">
        <w:rPr>
          <w:rFonts w:cs="Times New Roman"/>
          <w:b/>
        </w:rPr>
        <w:fldChar w:fldCharType="separate"/>
      </w:r>
      <w:r w:rsidRPr="00453381">
        <w:rPr>
          <w:rFonts w:cs="Times New Roman"/>
          <w:b/>
          <w:noProof/>
        </w:rPr>
        <w:t>9</w:t>
      </w:r>
      <w:r w:rsidRPr="00453381">
        <w:rPr>
          <w:rFonts w:cs="Times New Roman"/>
          <w:b/>
        </w:rPr>
        <w:fldChar w:fldCharType="end"/>
      </w:r>
      <w:r w:rsidRPr="00453381">
        <w:rPr>
          <w:rFonts w:cs="Times New Roman"/>
          <w:b/>
          <w:szCs w:val="24"/>
        </w:rPr>
        <w:t xml:space="preserve">: </w:t>
      </w:r>
      <w:r w:rsidRPr="00D14E9A">
        <w:rPr>
          <w:rFonts w:cs="Times New Roman"/>
          <w:szCs w:val="24"/>
        </w:rPr>
        <w:t>Temkin isotherm model plot</w:t>
      </w:r>
      <w:bookmarkEnd w:id="5"/>
    </w:p>
    <w:p w14:paraId="76261AC9" w14:textId="77777777" w:rsidR="00267FC2" w:rsidRPr="00C87AF0" w:rsidRDefault="00267FC2" w:rsidP="00267FC2">
      <w:pPr>
        <w:spacing w:before="100" w:beforeAutospacing="1" w:after="100" w:afterAutospacing="1" w:line="276" w:lineRule="auto"/>
        <w:rPr>
          <w:rFonts w:eastAsia="Times New Roman" w:cs="Times New Roman"/>
          <w:szCs w:val="24"/>
        </w:rPr>
      </w:pPr>
      <w:r w:rsidRPr="00C87AF0">
        <w:rPr>
          <w:rFonts w:cs="Times New Roman"/>
        </w:rPr>
        <w:t xml:space="preserve">The results based on the Temkin isotherm model indicate strong and favorable adsorption characteristics. The Temkin constant </w:t>
      </w:r>
      <w:r w:rsidRPr="00D14E9A">
        <w:rPr>
          <w:rFonts w:cs="Times New Roman"/>
          <w:b/>
        </w:rPr>
        <w:t>(</w:t>
      </w:r>
      <w:r w:rsidRPr="00D14E9A">
        <w:rPr>
          <w:rStyle w:val="Strong"/>
          <w:rFonts w:cs="Times New Roman"/>
        </w:rPr>
        <w:t>b</w:t>
      </w:r>
      <w:r w:rsidRPr="00D14E9A">
        <w:rPr>
          <w:rFonts w:cs="Times New Roman"/>
          <w:b/>
        </w:rPr>
        <w:t xml:space="preserve">) </w:t>
      </w:r>
      <w:r w:rsidRPr="00D14E9A">
        <w:rPr>
          <w:rFonts w:cs="Times New Roman"/>
        </w:rPr>
        <w:t>of</w:t>
      </w:r>
      <w:r w:rsidRPr="00D14E9A">
        <w:rPr>
          <w:rFonts w:cs="Times New Roman"/>
          <w:b/>
        </w:rPr>
        <w:t xml:space="preserve"> </w:t>
      </w:r>
      <w:r w:rsidRPr="00D14E9A">
        <w:rPr>
          <w:rStyle w:val="Strong"/>
          <w:rFonts w:cs="Times New Roman"/>
        </w:rPr>
        <w:t>14307.58 J/mol</w:t>
      </w:r>
      <w:r w:rsidRPr="00C87AF0">
        <w:rPr>
          <w:rFonts w:cs="Times New Roman"/>
        </w:rPr>
        <w:t xml:space="preserve"> reflects significant interaction energy between the adsorbent and adsorbate, suggesting that the adsorption process is energetically favorable. Additionally, the high equilibrium constant </w:t>
      </w:r>
      <m:oMath>
        <m:r>
          <m:rPr>
            <m:sty m:val="bi"/>
          </m:rPr>
          <w:rPr>
            <w:rFonts w:ascii="Cambria Math" w:hAnsi="Cambria Math" w:cs="Times New Roman"/>
          </w:rPr>
          <m:t>(</m:t>
        </m:r>
        <m:r>
          <w:rPr>
            <w:rStyle w:val="Strong"/>
            <w:rFonts w:ascii="Cambria Math" w:hAnsi="Cambria Math" w:cs="Times New Roman"/>
          </w:rPr>
          <m:t>KT</m:t>
        </m:r>
        <m:r>
          <m:rPr>
            <m:sty m:val="bi"/>
          </m:rPr>
          <w:rPr>
            <w:rFonts w:ascii="Cambria Math" w:hAnsi="Cambria Math" w:cs="Times New Roman"/>
          </w:rPr>
          <m:t>)</m:t>
        </m:r>
      </m:oMath>
      <w:r w:rsidRPr="00D14E9A">
        <w:rPr>
          <w:rFonts w:cs="Times New Roman"/>
          <w:b/>
        </w:rPr>
        <w:t xml:space="preserve"> </w:t>
      </w:r>
      <w:r w:rsidRPr="00D14E9A">
        <w:rPr>
          <w:rFonts w:cs="Times New Roman"/>
        </w:rPr>
        <w:t>of</w:t>
      </w:r>
      <w:r w:rsidRPr="00D14E9A">
        <w:rPr>
          <w:rFonts w:cs="Times New Roman"/>
          <w:b/>
        </w:rPr>
        <w:t xml:space="preserve"> </w:t>
      </w:r>
      <w:r w:rsidRPr="00D14E9A">
        <w:rPr>
          <w:rStyle w:val="Strong"/>
          <w:rFonts w:cs="Times New Roman"/>
        </w:rPr>
        <w:t>1156.04 L/g</w:t>
      </w:r>
      <w:r w:rsidRPr="00C87AF0">
        <w:rPr>
          <w:rFonts w:cs="Times New Roman"/>
        </w:rPr>
        <w:t xml:space="preserve"> highlights the material’s excellent adsorption capacity, meaning it can effectively retain and adsorb molecules. Together, these values demonstrate that the material is highly efficient for adsorption-related applications, such as pollutant removal or catalytic processes.</w:t>
      </w:r>
    </w:p>
    <w:p w14:paraId="30ABEBF5" w14:textId="77777777" w:rsidR="00D72C77" w:rsidRDefault="00D72C77"/>
    <w:sectPr w:rsidR="00D72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C2"/>
    <w:rsid w:val="00267FC2"/>
    <w:rsid w:val="00D72C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4569"/>
  <w15:chartTrackingRefBased/>
  <w15:docId w15:val="{FF35C123-8E0E-4844-8E31-F8D3D4B8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FC2"/>
    <w:pPr>
      <w:jc w:val="both"/>
    </w:pPr>
    <w:rPr>
      <w:rFonts w:ascii="Times New Roman" w:hAnsi="Times New Roman"/>
      <w:sz w:val="24"/>
      <w:lang w:val="en-US"/>
    </w:rPr>
  </w:style>
  <w:style w:type="paragraph" w:styleId="Heading4">
    <w:name w:val="heading 4"/>
    <w:basedOn w:val="Normal"/>
    <w:link w:val="Heading4Char"/>
    <w:uiPriority w:val="9"/>
    <w:qFormat/>
    <w:rsid w:val="00267FC2"/>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67FC2"/>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267FC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67FC2"/>
    <w:rPr>
      <w:b/>
      <w:bCs/>
    </w:rPr>
  </w:style>
  <w:style w:type="character" w:customStyle="1" w:styleId="katex-mathml">
    <w:name w:val="katex-mathml"/>
    <w:basedOn w:val="DefaultParagraphFont"/>
    <w:rsid w:val="00267FC2"/>
  </w:style>
  <w:style w:type="character" w:customStyle="1" w:styleId="mord">
    <w:name w:val="mord"/>
    <w:basedOn w:val="DefaultParagraphFont"/>
    <w:rsid w:val="00267FC2"/>
  </w:style>
  <w:style w:type="character" w:customStyle="1" w:styleId="vlist-s">
    <w:name w:val="vlist-s"/>
    <w:basedOn w:val="DefaultParagraphFont"/>
    <w:rsid w:val="00267FC2"/>
  </w:style>
  <w:style w:type="table" w:styleId="TableGrid">
    <w:name w:val="Table Grid"/>
    <w:basedOn w:val="TableNormal"/>
    <w:uiPriority w:val="39"/>
    <w:rsid w:val="00267F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p">
    <w:name w:val="mop"/>
    <w:basedOn w:val="DefaultParagraphFont"/>
    <w:rsid w:val="00267FC2"/>
  </w:style>
  <w:style w:type="character" w:customStyle="1" w:styleId="mopen">
    <w:name w:val="mopen"/>
    <w:basedOn w:val="DefaultParagraphFont"/>
    <w:rsid w:val="00267FC2"/>
  </w:style>
  <w:style w:type="character" w:customStyle="1" w:styleId="mclose">
    <w:name w:val="mclose"/>
    <w:basedOn w:val="DefaultParagraphFont"/>
    <w:rsid w:val="00267FC2"/>
  </w:style>
  <w:style w:type="paragraph" w:styleId="Caption">
    <w:name w:val="caption"/>
    <w:basedOn w:val="Normal"/>
    <w:next w:val="Normal"/>
    <w:uiPriority w:val="35"/>
    <w:unhideWhenUsed/>
    <w:qFormat/>
    <w:rsid w:val="00267FC2"/>
    <w:pPr>
      <w:spacing w:after="200" w:line="36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1172</Words>
  <Characters>6682</Characters>
  <Application>Microsoft Office Word</Application>
  <DocSecurity>0</DocSecurity>
  <Lines>55</Lines>
  <Paragraphs>15</Paragraphs>
  <ScaleCrop>false</ScaleCrop>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2025-09-20T06:29:00Z</dcterms:created>
  <dcterms:modified xsi:type="dcterms:W3CDTF">2025-09-20T06:31:00Z</dcterms:modified>
</cp:coreProperties>
</file>