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440"/>
        <w:jc w:val="center"/>
        <w:pBdr>
          <w:top w:val="single" w:sz="0" w:space="0" w:color="1D2B4F"/>
          <w:bottom w:val="single" w:sz="0" w:space="0" w:color="1D2B4F"/>
        </w:pBdr>
        <w:shd w:val="clear" w:color="auto" w:fill="1D2B4F"/>
      </w:pPr>
      <w:r>
        <w:rPr>
          <w:rFonts w:ascii="Arial" w:hAnsi="Arial"/>
          <w:b/>
          <w:color w:val="FFFFFF"/>
          <w:sz w:val="20"/>
        </w:rPr>
        <w:t>منظمتي</w:t>
      </w:r>
    </w:p>
    <w:p/>
    <w:p>
      <w:pPr>
        <w:spacing w:before="360" w:after="80"/>
        <w:jc w:val="right"/>
      </w:pPr>
      <w:r>
        <w:rPr>
          <w:rFonts w:ascii="Arial" w:hAnsi="Arial"/>
          <w:b/>
          <w:color w:val="1D2B4F"/>
          <w:sz w:val="44"/>
        </w:rPr>
        <w:t>وثيقة استراتيجية</w:t>
      </w:r>
    </w:p>
    <w:p>
      <w:pPr>
        <w:spacing w:after="120"/>
        <w:jc w:val="right"/>
      </w:pPr>
      <w:r>
        <w:rPr>
          <w:rFonts w:ascii="Arial" w:hAnsi="Arial"/>
          <w:color w:val="445463"/>
          <w:sz w:val="26"/>
        </w:rPr>
        <w:t>الأمن السيبراني</w:t>
      </w:r>
    </w:p>
    <w:p>
      <w:pPr>
        <w:pBdr>
          <w:bottom w:val="single" w:sz="18" w:space="1" w:color="D04A02"/>
        </w:pBdr>
        <w:spacing w:after="240"/>
      </w:pPr>
    </w:p>
    <w:tbl>
      <w:tblPr>
        <w:tblStyle w:val="TableGrid"/>
        <w:tblLook w:firstColumn="1" w:firstRow="1" w:lastColumn="0" w:lastRow="0" w:noHBand="0" w:noVBand="1" w:val="04A0"/>
        <w:tblW w:type="pct" w:w="5000"/>
        <w:tblLayout w:type="fixed"/>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4680"/>
            <w:shd w:val="clear" w:color="auto" w:fill="F3F4F6"/>
          </w:tcPr>
          <w:p>
            <w:r/>
            <w:r>
              <w:rPr>
                <w:rFonts w:ascii="Arial" w:hAnsi="Arial"/>
                <w:b/>
                <w:color w:val="1D2B4F"/>
                <w:sz w:val="20"/>
              </w:rPr>
              <w:t>نوع الوثيقة</w:t>
            </w:r>
          </w:p>
        </w:tc>
        <w:tc>
          <w:tcPr>
            <w:tcW w:type="dxa" w:w="4680"/>
            <w:shd w:val="clear" w:color="auto" w:fill="F3F4F6"/>
          </w:tcPr>
          <w:p>
            <w:r/>
            <w:r>
              <w:rPr>
                <w:rFonts w:ascii="Arial" w:hAnsi="Arial"/>
                <w:sz w:val="20"/>
              </w:rPr>
              <w:t>وثيقة استراتيجية</w:t>
            </w:r>
          </w:p>
        </w:tc>
      </w:tr>
      <w:tr>
        <w:tc>
          <w:tcPr>
            <w:tcW w:type="dxa" w:w="4680"/>
            <w:shd w:val="clear" w:color="auto" w:fill="F8F9FA"/>
          </w:tcPr>
          <w:p>
            <w:r/>
            <w:r>
              <w:rPr>
                <w:rFonts w:ascii="Arial" w:hAnsi="Arial"/>
                <w:b/>
                <w:color w:val="1D2B4F"/>
                <w:sz w:val="20"/>
              </w:rPr>
              <w:t>القطاع</w:t>
            </w:r>
          </w:p>
        </w:tc>
        <w:tc>
          <w:tcPr>
            <w:tcW w:type="dxa" w:w="4680"/>
            <w:shd w:val="clear" w:color="auto" w:fill="F8F9FA"/>
          </w:tcPr>
          <w:p>
            <w:r/>
            <w:r>
              <w:rPr>
                <w:rFonts w:ascii="Arial" w:hAnsi="Arial"/>
                <w:sz w:val="20"/>
              </w:rPr>
              <w:t>حكومي</w:t>
            </w:r>
          </w:p>
        </w:tc>
      </w:tr>
      <w:tr>
        <w:tc>
          <w:tcPr>
            <w:tcW w:type="dxa" w:w="4680"/>
            <w:shd w:val="clear" w:color="auto" w:fill="F3F4F6"/>
          </w:tcPr>
          <w:p>
            <w:r/>
            <w:r>
              <w:rPr>
                <w:rFonts w:ascii="Arial" w:hAnsi="Arial"/>
                <w:b/>
                <w:color w:val="1D2B4F"/>
                <w:sz w:val="20"/>
              </w:rPr>
              <w:t>التصنيف</w:t>
            </w:r>
          </w:p>
        </w:tc>
        <w:tc>
          <w:tcPr>
            <w:tcW w:type="dxa" w:w="4680"/>
            <w:shd w:val="clear" w:color="auto" w:fill="F3F4F6"/>
          </w:tcPr>
          <w:p>
            <w:r/>
            <w:r>
              <w:rPr>
                <w:rFonts w:ascii="Arial" w:hAnsi="Arial"/>
                <w:sz w:val="20"/>
              </w:rPr>
              <w:t>سري</w:t>
            </w:r>
          </w:p>
        </w:tc>
      </w:tr>
      <w:tr>
        <w:tc>
          <w:tcPr>
            <w:tcW w:type="dxa" w:w="4680"/>
            <w:shd w:val="clear" w:color="auto" w:fill="F8F9FA"/>
          </w:tcPr>
          <w:p>
            <w:r/>
            <w:r>
              <w:rPr>
                <w:rFonts w:ascii="Arial" w:hAnsi="Arial"/>
                <w:b/>
                <w:color w:val="1D2B4F"/>
                <w:sz w:val="20"/>
              </w:rPr>
              <w:t>الإصدار</w:t>
            </w:r>
          </w:p>
        </w:tc>
        <w:tc>
          <w:tcPr>
            <w:tcW w:type="dxa" w:w="4680"/>
            <w:shd w:val="clear" w:color="auto" w:fill="F8F9FA"/>
          </w:tcPr>
          <w:p>
            <w:r/>
            <w:r>
              <w:rPr>
                <w:rFonts w:ascii="Arial" w:hAnsi="Arial"/>
                <w:sz w:val="20"/>
              </w:rPr>
              <w:t>1.0</w:t>
            </w:r>
          </w:p>
        </w:tc>
      </w:tr>
      <w:tr>
        <w:tc>
          <w:tcPr>
            <w:tcW w:type="dxa" w:w="4680"/>
            <w:shd w:val="clear" w:color="auto" w:fill="F3F4F6"/>
          </w:tcPr>
          <w:p>
            <w:r/>
            <w:r>
              <w:rPr>
                <w:rFonts w:ascii="Arial" w:hAnsi="Arial"/>
                <w:b/>
                <w:color w:val="1D2B4F"/>
                <w:sz w:val="20"/>
              </w:rPr>
              <w:t>الحالة</w:t>
            </w:r>
          </w:p>
        </w:tc>
        <w:tc>
          <w:tcPr>
            <w:tcW w:type="dxa" w:w="4680"/>
            <w:shd w:val="clear" w:color="auto" w:fill="F3F4F6"/>
          </w:tcPr>
          <w:p>
            <w:r/>
            <w:r>
              <w:rPr>
                <w:rFonts w:ascii="Arial" w:hAnsi="Arial"/>
                <w:sz w:val="20"/>
              </w:rPr>
              <w:t>مسودة</w:t>
            </w:r>
          </w:p>
        </w:tc>
      </w:tr>
      <w:tr>
        <w:tc>
          <w:tcPr>
            <w:tcW w:type="dxa" w:w="4680"/>
            <w:shd w:val="clear" w:color="auto" w:fill="F8F9FA"/>
          </w:tcPr>
          <w:p>
            <w:r/>
            <w:r>
              <w:rPr>
                <w:rFonts w:ascii="Arial" w:hAnsi="Arial"/>
                <w:b/>
                <w:color w:val="1D2B4F"/>
                <w:sz w:val="20"/>
              </w:rPr>
              <w:t>تاريخ الإعداد</w:t>
            </w:r>
          </w:p>
        </w:tc>
        <w:tc>
          <w:tcPr>
            <w:tcW w:type="dxa" w:w="4680"/>
            <w:shd w:val="clear" w:color="auto" w:fill="F8F9FA"/>
          </w:tcPr>
          <w:p>
            <w:r/>
            <w:r>
              <w:rPr>
                <w:rFonts w:ascii="Arial" w:hAnsi="Arial"/>
                <w:sz w:val="20"/>
              </w:rPr>
              <w:t>22 June 2026</w:t>
            </w:r>
          </w:p>
        </w:tc>
      </w:tr>
      <w:tr>
        <w:tc>
          <w:tcPr>
            <w:tcW w:type="dxa" w:w="4680"/>
            <w:shd w:val="clear" w:color="auto" w:fill="F3F4F6"/>
          </w:tcPr>
          <w:p>
            <w:r/>
            <w:r>
              <w:rPr>
                <w:rFonts w:ascii="Arial" w:hAnsi="Arial"/>
                <w:b/>
                <w:color w:val="1D2B4F"/>
                <w:sz w:val="20"/>
              </w:rPr>
              <w:t>أعد بواسطة</w:t>
            </w:r>
          </w:p>
        </w:tc>
        <w:tc>
          <w:tcPr>
            <w:tcW w:type="dxa" w:w="4680"/>
            <w:shd w:val="clear" w:color="auto" w:fill="F3F4F6"/>
          </w:tcPr>
          <w:p>
            <w:r/>
            <w:r>
              <w:rPr>
                <w:rFonts w:ascii="Arial" w:hAnsi="Arial"/>
                <w:sz w:val="20"/>
              </w:rPr>
              <w:t>منصة ميزان GRC</w:t>
            </w:r>
          </w:p>
        </w:tc>
      </w:tr>
    </w:tbl>
    <w:p/>
    <w:p>
      <w:pPr>
        <w:pBdr>
          <w:top w:val="single" w:sz="12" w:space="1" w:color="1D2B4F"/>
        </w:pBdr>
        <w:spacing w:before="160"/>
        <w:jc w:val="center"/>
      </w:pPr>
      <w:r>
        <w:rPr>
          <w:rFonts w:ascii="Arial" w:hAnsi="Arial"/>
          <w:color w:val="1D2B4F"/>
          <w:sz w:val="20"/>
        </w:rPr>
        <w:t>الحوكمة • المخاطر • الامتثال</w:t>
      </w:r>
    </w:p>
    <w:p>
      <w:r>
        <w:br w:type="page"/>
      </w:r>
    </w:p>
    <w:p>
      <w:pPr>
        <w:pStyle w:val="Heading1"/>
        <w:jc w:val="right"/>
      </w:pPr>
      <w:r>
        <w:rPr>
          <w:rFonts w:ascii="Arial" w:hAnsi="Arial"/>
          <w:color w:val="1D2B4F"/>
          <w:sz w:val="20"/>
        </w:rPr>
        <w:t>المحتويات</w:t>
      </w:r>
    </w:p>
    <w:p>
      <w:pPr>
        <w:pBdr>
          <w:bottom w:val="single" w:sz="8" w:space="1" w:color="1D2B4F"/>
        </w:pBdr>
        <w:spacing w:after="120"/>
      </w:pPr>
    </w:p>
    <w:p>
      <w:pPr>
        <w:spacing w:before="80" w:after="80"/>
        <w:jc w:val="right"/>
        <w:pBdr>
          <w:bottom w:val="dotted" w:sz="4" w:space="1" w:color="D1D5DB"/>
        </w:pBdr>
      </w:pPr>
      <w:r>
        <w:rPr>
          <w:rFonts w:ascii="Arial" w:hAnsi="Arial"/>
          <w:b/>
          <w:color w:val="1D2B4F"/>
          <w:sz w:val="20"/>
        </w:rPr>
        <w:t xml:space="preserve">1  </w:t>
      </w:r>
      <w:r>
        <w:rPr>
          <w:rFonts w:ascii="Arial" w:hAnsi="Arial"/>
          <w:sz w:val="20"/>
        </w:rPr>
        <w:t>الملخص التنفيذي</w:t>
      </w:r>
    </w:p>
    <w:p>
      <w:pPr>
        <w:spacing w:before="80" w:after="80"/>
        <w:jc w:val="right"/>
        <w:pBdr>
          <w:bottom w:val="dotted" w:sz="4" w:space="1" w:color="D1D5DB"/>
        </w:pBdr>
      </w:pPr>
      <w:r>
        <w:rPr>
          <w:rFonts w:ascii="Arial" w:hAnsi="Arial"/>
          <w:b/>
          <w:color w:val="1D2B4F"/>
          <w:sz w:val="20"/>
        </w:rPr>
        <w:t xml:space="preserve">2  </w:t>
      </w:r>
      <w:r>
        <w:rPr>
          <w:rFonts w:ascii="Arial" w:hAnsi="Arial"/>
          <w:sz w:val="20"/>
        </w:rPr>
        <w:t>النطاق والأطر المرجعية المعتمدة</w:t>
      </w:r>
    </w:p>
    <w:p>
      <w:pPr>
        <w:spacing w:before="80" w:after="80"/>
        <w:jc w:val="right"/>
        <w:pBdr>
          <w:bottom w:val="dotted" w:sz="4" w:space="1" w:color="D1D5DB"/>
        </w:pBdr>
      </w:pPr>
      <w:r>
        <w:rPr>
          <w:rFonts w:ascii="Arial" w:hAnsi="Arial"/>
          <w:b/>
          <w:color w:val="1D2B4F"/>
          <w:sz w:val="20"/>
        </w:rPr>
        <w:t xml:space="preserve">3  </w:t>
      </w:r>
      <w:r>
        <w:rPr>
          <w:rFonts w:ascii="Arial" w:hAnsi="Arial"/>
          <w:sz w:val="20"/>
        </w:rPr>
        <w:t>المنهجية</w:t>
      </w:r>
    </w:p>
    <w:p>
      <w:pPr>
        <w:spacing w:before="80" w:after="80"/>
        <w:jc w:val="right"/>
        <w:pBdr>
          <w:bottom w:val="dotted" w:sz="4" w:space="1" w:color="D1D5DB"/>
        </w:pBdr>
      </w:pPr>
      <w:r>
        <w:rPr>
          <w:rFonts w:ascii="Arial" w:hAnsi="Arial"/>
          <w:b/>
          <w:color w:val="1D2B4F"/>
          <w:sz w:val="20"/>
        </w:rPr>
        <w:t xml:space="preserve">4  </w:t>
      </w:r>
      <w:r>
        <w:rPr>
          <w:rFonts w:ascii="Arial" w:hAnsi="Arial"/>
          <w:sz w:val="20"/>
        </w:rPr>
        <w:t>ملخص الوضع الراهن ومستوى النضج</w:t>
      </w:r>
    </w:p>
    <w:p>
      <w:pPr>
        <w:spacing w:before="80" w:after="80"/>
        <w:jc w:val="right"/>
        <w:pBdr>
          <w:bottom w:val="dotted" w:sz="4" w:space="1" w:color="D1D5DB"/>
        </w:pBdr>
      </w:pPr>
      <w:r>
        <w:rPr>
          <w:rFonts w:ascii="Arial" w:hAnsi="Arial"/>
          <w:b/>
          <w:color w:val="1D2B4F"/>
          <w:sz w:val="20"/>
        </w:rPr>
        <w:t xml:space="preserve">5  </w:t>
      </w:r>
      <w:r>
        <w:rPr>
          <w:rFonts w:ascii="Arial" w:hAnsi="Arial"/>
          <w:sz w:val="20"/>
        </w:rPr>
        <w:t>الرؤية والأهداف الاستراتيجية</w:t>
      </w:r>
    </w:p>
    <w:p>
      <w:pPr>
        <w:spacing w:before="80" w:after="80"/>
        <w:jc w:val="right"/>
        <w:pBdr>
          <w:bottom w:val="dotted" w:sz="4" w:space="1" w:color="D1D5DB"/>
        </w:pBdr>
      </w:pPr>
      <w:r>
        <w:rPr>
          <w:rFonts w:ascii="Arial" w:hAnsi="Arial"/>
          <w:b/>
          <w:color w:val="1D2B4F"/>
          <w:sz w:val="20"/>
        </w:rPr>
        <w:t xml:space="preserve">6  </w:t>
      </w:r>
      <w:r>
        <w:rPr>
          <w:rFonts w:ascii="Arial" w:hAnsi="Arial"/>
          <w:sz w:val="20"/>
        </w:rPr>
        <w:t>الركائز الاستراتيجية</w:t>
      </w:r>
    </w:p>
    <w:p>
      <w:pPr>
        <w:spacing w:before="80" w:after="80"/>
        <w:jc w:val="right"/>
        <w:pBdr>
          <w:bottom w:val="dotted" w:sz="4" w:space="1" w:color="D1D5DB"/>
        </w:pBdr>
      </w:pPr>
      <w:r>
        <w:rPr>
          <w:rFonts w:ascii="Arial" w:hAnsi="Arial"/>
          <w:b/>
          <w:color w:val="1D2B4F"/>
          <w:sz w:val="20"/>
        </w:rPr>
        <w:t xml:space="preserve">7  </w:t>
      </w:r>
      <w:r>
        <w:rPr>
          <w:rFonts w:ascii="Arial" w:hAnsi="Arial"/>
          <w:sz w:val="20"/>
        </w:rPr>
        <w:t>البيئة التنظيمية والتهديدات</w:t>
      </w:r>
    </w:p>
    <w:p>
      <w:pPr>
        <w:spacing w:before="80" w:after="80"/>
        <w:jc w:val="right"/>
        <w:pBdr>
          <w:bottom w:val="dotted" w:sz="4" w:space="1" w:color="D1D5DB"/>
        </w:pBdr>
      </w:pPr>
      <w:r>
        <w:rPr>
          <w:rFonts w:ascii="Arial" w:hAnsi="Arial"/>
          <w:b/>
          <w:color w:val="1D2B4F"/>
          <w:sz w:val="20"/>
        </w:rPr>
        <w:t xml:space="preserve">8  </w:t>
      </w:r>
      <w:r>
        <w:rPr>
          <w:rFonts w:ascii="Arial" w:hAnsi="Arial"/>
          <w:sz w:val="20"/>
        </w:rPr>
        <w:t>تحليل الفجوات</w:t>
      </w:r>
    </w:p>
    <w:p>
      <w:pPr>
        <w:spacing w:before="80" w:after="80"/>
        <w:jc w:val="right"/>
        <w:pBdr>
          <w:bottom w:val="dotted" w:sz="4" w:space="1" w:color="D1D5DB"/>
        </w:pBdr>
      </w:pPr>
      <w:r>
        <w:rPr>
          <w:rFonts w:ascii="Arial" w:hAnsi="Arial"/>
          <w:b/>
          <w:color w:val="1D2B4F"/>
          <w:sz w:val="20"/>
        </w:rPr>
        <w:t xml:space="preserve">9  </w:t>
      </w:r>
      <w:r>
        <w:rPr>
          <w:rFonts w:ascii="Arial" w:hAnsi="Arial"/>
          <w:sz w:val="20"/>
        </w:rPr>
        <w:t>خارطة الطريق التنفيذية</w:t>
      </w:r>
    </w:p>
    <w:p>
      <w:pPr>
        <w:spacing w:before="80" w:after="80"/>
        <w:jc w:val="right"/>
        <w:pBdr>
          <w:bottom w:val="dotted" w:sz="4" w:space="1" w:color="D1D5DB"/>
        </w:pBdr>
      </w:pPr>
      <w:r>
        <w:rPr>
          <w:rFonts w:ascii="Arial" w:hAnsi="Arial"/>
          <w:b/>
          <w:color w:val="1D2B4F"/>
          <w:sz w:val="20"/>
        </w:rPr>
        <w:t xml:space="preserve">10  </w:t>
      </w:r>
      <w:r>
        <w:rPr>
          <w:rFonts w:ascii="Arial" w:hAnsi="Arial"/>
          <w:sz w:val="20"/>
        </w:rPr>
        <w:t>مؤشرات الأداء الرئيسية</w:t>
      </w:r>
    </w:p>
    <w:p>
      <w:pPr>
        <w:spacing w:before="80" w:after="80"/>
        <w:jc w:val="right"/>
        <w:pBdr>
          <w:bottom w:val="dotted" w:sz="4" w:space="1" w:color="D1D5DB"/>
        </w:pBdr>
      </w:pPr>
      <w:r>
        <w:rPr>
          <w:rFonts w:ascii="Arial" w:hAnsi="Arial"/>
          <w:b/>
          <w:color w:val="1D2B4F"/>
          <w:sz w:val="20"/>
        </w:rPr>
        <w:t xml:space="preserve">11  </w:t>
      </w:r>
      <w:r>
        <w:rPr>
          <w:rFonts w:ascii="Arial" w:hAnsi="Arial"/>
          <w:sz w:val="20"/>
        </w:rPr>
        <w:t>تقييم الثقة والمخاطر</w:t>
      </w:r>
    </w:p>
    <w:p>
      <w:pPr>
        <w:spacing w:before="80" w:after="80"/>
        <w:jc w:val="right"/>
        <w:pBdr>
          <w:bottom w:val="dotted" w:sz="4" w:space="1" w:color="D1D5DB"/>
        </w:pBdr>
      </w:pPr>
      <w:r>
        <w:rPr>
          <w:rFonts w:ascii="Arial" w:hAnsi="Arial"/>
          <w:b/>
          <w:color w:val="1D2B4F"/>
          <w:sz w:val="20"/>
        </w:rPr>
        <w:t xml:space="preserve">12  </w:t>
      </w:r>
      <w:r>
        <w:rPr>
          <w:rFonts w:ascii="Arial" w:hAnsi="Arial"/>
          <w:sz w:val="20"/>
        </w:rPr>
        <w:t>نموذج الحوكمة والمسؤوليات</w:t>
      </w:r>
    </w:p>
    <w:p>
      <w:pPr>
        <w:spacing w:before="80" w:after="80"/>
        <w:jc w:val="right"/>
        <w:pBdr>
          <w:bottom w:val="dotted" w:sz="4" w:space="1" w:color="D1D5DB"/>
        </w:pBdr>
      </w:pPr>
      <w:r>
        <w:rPr>
          <w:rFonts w:ascii="Arial" w:hAnsi="Arial"/>
          <w:b/>
          <w:color w:val="1D2B4F"/>
          <w:sz w:val="20"/>
        </w:rPr>
        <w:t xml:space="preserve">13  </w:t>
      </w:r>
      <w:r>
        <w:rPr>
          <w:rFonts w:ascii="Arial" w:hAnsi="Arial"/>
          <w:sz w:val="20"/>
        </w:rPr>
        <w:t>مصفوفة تتبع الأطر المرجعية</w:t>
      </w:r>
    </w:p>
    <w:p>
      <w:pPr>
        <w:spacing w:before="80" w:after="80"/>
        <w:jc w:val="right"/>
        <w:pBdr>
          <w:bottom w:val="dotted" w:sz="4" w:space="1" w:color="D1D5DB"/>
        </w:pBdr>
      </w:pPr>
      <w:r>
        <w:rPr>
          <w:rFonts w:ascii="Arial" w:hAnsi="Arial"/>
          <w:b/>
          <w:color w:val="1D2B4F"/>
          <w:sz w:val="20"/>
        </w:rPr>
        <w:t xml:space="preserve">14  </w:t>
      </w:r>
      <w:r>
        <w:rPr>
          <w:rFonts w:ascii="Arial" w:hAnsi="Arial"/>
          <w:sz w:val="20"/>
        </w:rPr>
        <w:t>الملاحق</w:t>
      </w:r>
    </w:p>
    <w:p/>
    <w:p>
      <w:r>
        <w:rPr>
          <w:rFonts w:ascii="Arial" w:hAnsi="Arial"/>
          <w:color w:val="718096"/>
          <w:sz w:val="20"/>
        </w:rPr>
        <w:t>هذه الوثيقة سرية ومعدة حصراً للاستخدام الداخلي.</w:t>
      </w:r>
    </w:p>
    <w:p>
      <w:r>
        <w:br w:type="page"/>
      </w:r>
    </w:p>
    <w:p>
      <w:pPr>
        <w:spacing w:before="160" w:after="40"/>
        <w:jc w:val="right"/>
        <w:bidi w:val="1"/>
      </w:pPr>
      <w:r>
        <w:rPr>
          <w:b/>
          <w:color w:val="1D2B4F"/>
          <w:sz w:val="28"/>
          <w:rtl w:val="1"/>
        </w:rPr>
        <w:t>بطاقة ضبط الوثيقة</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المنظمة</w:t>
            </w:r>
          </w:p>
        </w:tc>
        <w:tc>
          <w:tcPr>
            <w:tcW w:type="dxa" w:w="4680"/>
          </w:tcPr>
          <w:p>
            <w:pPr>
              <w:jc w:val="right"/>
              <w:bidi w:val="1"/>
            </w:pPr>
            <w:r>
              <w:rPr>
                <w:b w:val="0"/>
                <w:sz w:val="18"/>
                <w:rtl w:val="1"/>
              </w:rPr>
              <w:t>منظمتي</w:t>
            </w:r>
          </w:p>
        </w:tc>
      </w:tr>
      <w:tr>
        <w:tc>
          <w:tcPr>
            <w:tcW w:type="dxa" w:w="4680"/>
            <w:shd w:val="clear" w:color="auto" w:fill="F3F4F6"/>
          </w:tcPr>
          <w:p>
            <w:pPr>
              <w:jc w:val="right"/>
              <w:bidi w:val="1"/>
            </w:pPr>
            <w:r>
              <w:rPr>
                <w:b/>
                <w:sz w:val="18"/>
                <w:rtl w:val="1"/>
              </w:rPr>
              <w:t>القطاع</w:t>
            </w:r>
          </w:p>
        </w:tc>
        <w:tc>
          <w:tcPr>
            <w:tcW w:type="dxa" w:w="4680"/>
          </w:tcPr>
          <w:p>
            <w:pPr>
              <w:jc w:val="right"/>
              <w:bidi w:val="1"/>
            </w:pPr>
            <w:r>
              <w:rPr>
                <w:b w:val="0"/>
                <w:sz w:val="18"/>
                <w:rtl w:val="1"/>
              </w:rPr>
              <w:t>حكومي</w:t>
            </w:r>
          </w:p>
        </w:tc>
      </w:tr>
      <w:tr>
        <w:tc>
          <w:tcPr>
            <w:tcW w:type="dxa" w:w="4680"/>
            <w:shd w:val="clear" w:color="auto" w:fill="F3F4F6"/>
          </w:tcPr>
          <w:p>
            <w:pPr>
              <w:jc w:val="right"/>
              <w:bidi w:val="1"/>
            </w:pPr>
            <w:r>
              <w:rPr>
                <w:b/>
                <w:sz w:val="18"/>
                <w:rtl w:val="1"/>
              </w:rPr>
              <w:t>المجال</w:t>
            </w:r>
          </w:p>
        </w:tc>
        <w:tc>
          <w:tcPr>
            <w:tcW w:type="dxa" w:w="4680"/>
          </w:tcPr>
          <w:p>
            <w:pPr>
              <w:jc w:val="right"/>
              <w:bidi w:val="1"/>
            </w:pPr>
            <w:r>
              <w:rPr>
                <w:b w:val="0"/>
                <w:sz w:val="18"/>
                <w:rtl w:val="1"/>
              </w:rPr>
              <w:t>الأمن السيبراني</w:t>
            </w:r>
          </w:p>
        </w:tc>
      </w:tr>
      <w:tr>
        <w:tc>
          <w:tcPr>
            <w:tcW w:type="dxa" w:w="4680"/>
            <w:shd w:val="clear" w:color="auto" w:fill="F3F4F6"/>
          </w:tcPr>
          <w:p>
            <w:pPr>
              <w:jc w:val="right"/>
              <w:bidi w:val="1"/>
            </w:pPr>
            <w:r>
              <w:rPr>
                <w:b/>
                <w:sz w:val="18"/>
                <w:rtl w:val="1"/>
              </w:rPr>
              <w:t>نوع الوثيقة</w:t>
            </w:r>
          </w:p>
        </w:tc>
        <w:tc>
          <w:tcPr>
            <w:tcW w:type="dxa" w:w="4680"/>
          </w:tcPr>
          <w:p>
            <w:pPr>
              <w:jc w:val="right"/>
              <w:bidi w:val="1"/>
            </w:pPr>
            <w:r>
              <w:rPr>
                <w:b w:val="0"/>
                <w:sz w:val="18"/>
                <w:rtl w:val="1"/>
              </w:rPr>
              <w:t>وثيقة استراتيجية</w:t>
            </w:r>
          </w:p>
        </w:tc>
      </w:tr>
      <w:tr>
        <w:tc>
          <w:tcPr>
            <w:tcW w:type="dxa" w:w="4680"/>
            <w:shd w:val="clear" w:color="auto" w:fill="F3F4F6"/>
          </w:tcPr>
          <w:p>
            <w:pPr>
              <w:jc w:val="right"/>
              <w:bidi w:val="1"/>
            </w:pPr>
            <w:r>
              <w:rPr>
                <w:b/>
                <w:sz w:val="18"/>
                <w:rtl w:val="1"/>
              </w:rPr>
              <w:t>التصنيف</w:t>
            </w:r>
          </w:p>
        </w:tc>
        <w:tc>
          <w:tcPr>
            <w:tcW w:type="dxa" w:w="4680"/>
          </w:tcPr>
          <w:p>
            <w:pPr>
              <w:jc w:val="right"/>
              <w:bidi w:val="1"/>
            </w:pPr>
            <w:r>
              <w:rPr>
                <w:b w:val="0"/>
                <w:sz w:val="18"/>
                <w:rtl w:val="1"/>
              </w:rPr>
              <w:t>سري</w:t>
            </w:r>
          </w:p>
        </w:tc>
      </w:tr>
      <w:tr>
        <w:tc>
          <w:tcPr>
            <w:tcW w:type="dxa" w:w="4680"/>
            <w:shd w:val="clear" w:color="auto" w:fill="F3F4F6"/>
          </w:tcPr>
          <w:p>
            <w:pPr>
              <w:jc w:val="right"/>
              <w:bidi w:val="1"/>
            </w:pPr>
            <w:r>
              <w:rPr>
                <w:b/>
                <w:sz w:val="18"/>
                <w:rtl w:val="1"/>
              </w:rPr>
              <w:t>الإصدار</w:t>
            </w:r>
          </w:p>
        </w:tc>
        <w:tc>
          <w:tcPr>
            <w:tcW w:type="dxa" w:w="4680"/>
          </w:tcPr>
          <w:p>
            <w:pPr>
              <w:jc w:val="right"/>
              <w:bidi w:val="1"/>
            </w:pPr>
            <w:r>
              <w:rPr>
                <w:b w:val="0"/>
                <w:sz w:val="18"/>
                <w:rtl w:val="1"/>
              </w:rPr>
              <w:t>1.0</w:t>
            </w:r>
          </w:p>
        </w:tc>
      </w:tr>
      <w:tr>
        <w:tc>
          <w:tcPr>
            <w:tcW w:type="dxa" w:w="4680"/>
            <w:shd w:val="clear" w:color="auto" w:fill="F3F4F6"/>
          </w:tcPr>
          <w:p>
            <w:pPr>
              <w:jc w:val="right"/>
              <w:bidi w:val="1"/>
            </w:pPr>
            <w:r>
              <w:rPr>
                <w:b/>
                <w:sz w:val="18"/>
                <w:rtl w:val="1"/>
              </w:rPr>
              <w:t>الحالة</w:t>
            </w:r>
          </w:p>
        </w:tc>
        <w:tc>
          <w:tcPr>
            <w:tcW w:type="dxa" w:w="4680"/>
          </w:tcPr>
          <w:p>
            <w:pPr>
              <w:jc w:val="right"/>
              <w:bidi w:val="1"/>
            </w:pPr>
            <w:r>
              <w:rPr>
                <w:b w:val="0"/>
                <w:sz w:val="18"/>
                <w:rtl w:val="1"/>
              </w:rPr>
              <w:t>مسودة</w:t>
            </w:r>
          </w:p>
        </w:tc>
      </w:tr>
      <w:tr>
        <w:tc>
          <w:tcPr>
            <w:tcW w:type="dxa" w:w="4680"/>
            <w:shd w:val="clear" w:color="auto" w:fill="F3F4F6"/>
          </w:tcPr>
          <w:p>
            <w:pPr>
              <w:jc w:val="right"/>
              <w:bidi w:val="1"/>
            </w:pPr>
            <w:r>
              <w:rPr>
                <w:b/>
                <w:sz w:val="18"/>
                <w:rtl w:val="1"/>
              </w:rPr>
              <w:t>تاريخ الإعداد</w:t>
            </w:r>
          </w:p>
        </w:tc>
        <w:tc>
          <w:tcPr>
            <w:tcW w:type="dxa" w:w="4680"/>
          </w:tcPr>
          <w:p>
            <w:pPr>
              <w:jc w:val="right"/>
              <w:bidi w:val="1"/>
            </w:pPr>
            <w:r>
              <w:rPr>
                <w:b w:val="0"/>
                <w:sz w:val="18"/>
                <w:rtl w:val="1"/>
              </w:rPr>
              <w:t>22 June 2026</w:t>
            </w:r>
          </w:p>
        </w:tc>
      </w:tr>
      <w:tr>
        <w:tc>
          <w:tcPr>
            <w:tcW w:type="dxa" w:w="4680"/>
            <w:shd w:val="clear" w:color="auto" w:fill="F3F4F6"/>
          </w:tcPr>
          <w:p>
            <w:pPr>
              <w:jc w:val="right"/>
              <w:bidi w:val="1"/>
            </w:pPr>
            <w:r>
              <w:rPr>
                <w:b/>
                <w:sz w:val="18"/>
                <w:rtl w:val="1"/>
              </w:rPr>
              <w:t>أعد بواسطة</w:t>
            </w:r>
          </w:p>
        </w:tc>
        <w:tc>
          <w:tcPr>
            <w:tcW w:type="dxa" w:w="4680"/>
          </w:tcPr>
          <w:p>
            <w:pPr>
              <w:jc w:val="right"/>
              <w:bidi w:val="1"/>
            </w:pPr>
            <w:r>
              <w:rPr>
                <w:b w:val="0"/>
                <w:sz w:val="18"/>
                <w:rtl w:val="1"/>
              </w:rPr>
              <w:t>Mizan GRC Platform</w:t>
            </w:r>
          </w:p>
        </w:tc>
      </w:tr>
    </w:tbl>
    <w:p/>
    <w:p>
      <w:r>
        <w:br w:type="page"/>
      </w:r>
    </w:p>
    <w:p>
      <w:pPr>
        <w:spacing w:before="160" w:after="40"/>
        <w:jc w:val="right"/>
        <w:bidi w:val="1"/>
      </w:pPr>
      <w:r>
        <w:rPr>
          <w:b/>
          <w:color w:val="1D2B4F"/>
          <w:sz w:val="28"/>
          <w:rtl w:val="1"/>
        </w:rPr>
        <w:t>الملخص التنفيذي</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الغرض</w:t>
            </w:r>
          </w:p>
        </w:tc>
        <w:tc>
          <w:tcPr>
            <w:tcW w:type="dxa" w:w="4680"/>
          </w:tcPr>
          <w:p>
            <w:pPr>
              <w:jc w:val="right"/>
              <w:bidi w:val="1"/>
            </w:pPr>
            <w:r>
              <w:rPr>
                <w:b w:val="0"/>
                <w:sz w:val="18"/>
                <w:rtl w:val="1"/>
              </w:rPr>
              <w:t>تُقدّم هذه الوثيقة استراتيجية الأمن السيبراني المُعدّة لـمنظمتي (القطاع: حكومي)، مبنيةً على تحليل تشخيصي كامل ومُواءَمة مع 2 من الأطر المرجعية المختارة NCA ECC, NCA DCC (NCA ECC (Essential Cybersecurity Controls), NCA DCC (Data Cybersecurity Controls)).</w:t>
            </w:r>
          </w:p>
        </w:tc>
      </w:tr>
      <w:tr>
        <w:tc>
          <w:tcPr>
            <w:tcW w:type="dxa" w:w="4680"/>
            <w:shd w:val="clear" w:color="auto" w:fill="F3F4F6"/>
          </w:tcPr>
          <w:p>
            <w:pPr>
              <w:jc w:val="right"/>
              <w:bidi w:val="1"/>
            </w:pPr>
            <w:r>
              <w:rPr>
                <w:b/>
                <w:sz w:val="18"/>
                <w:rtl w:val="1"/>
              </w:rPr>
              <w:t>الأطر المرجعية</w:t>
            </w:r>
          </w:p>
        </w:tc>
        <w:tc>
          <w:tcPr>
            <w:tcW w:type="dxa" w:w="4680"/>
          </w:tcPr>
          <w:p>
            <w:pPr>
              <w:jc w:val="right"/>
              <w:bidi w:val="1"/>
            </w:pPr>
            <w:r>
              <w:rPr>
                <w:b w:val="0"/>
                <w:sz w:val="18"/>
                <w:rtl w:val="1"/>
              </w:rPr>
              <w:t>NCA ECC (Essential Cybersecurity Controls) — NCA DCC (Data Cybersecurity Controls)</w:t>
            </w:r>
          </w:p>
        </w:tc>
      </w:tr>
      <w:tr>
        <w:tc>
          <w:tcPr>
            <w:tcW w:type="dxa" w:w="4680"/>
            <w:shd w:val="clear" w:color="auto" w:fill="F3F4F6"/>
          </w:tcPr>
          <w:p>
            <w:pPr>
              <w:jc w:val="right"/>
              <w:bidi w:val="1"/>
            </w:pPr>
            <w:r>
              <w:rPr>
                <w:b/>
                <w:sz w:val="18"/>
                <w:rtl w:val="1"/>
              </w:rPr>
              <w:t>أهم الأولويات</w:t>
            </w:r>
          </w:p>
        </w:tc>
        <w:tc>
          <w:tcPr>
            <w:tcW w:type="dxa" w:w="4680"/>
          </w:tcPr>
          <w:p>
            <w:pPr>
              <w:jc w:val="right"/>
              <w:bidi w:val="1"/>
            </w:pPr>
            <w:r>
              <w:rPr>
                <w:b w:val="0"/>
                <w:sz w:val="18"/>
                <w:rtl w:val="1"/>
              </w:rPr>
              <w:t>تأسيس حوكمة الأمن السيبراني وتعيين CISO؛ تفعيل DLP ومراقبة تسرب البيانات؛ تطبيق IAM/PAM/MFA؛ تحسين إدارة الثغرات والاستجابة للحوادث CSIRT؛ برنامج التوعية الأمنية</w:t>
            </w:r>
          </w:p>
        </w:tc>
      </w:tr>
      <w:tr>
        <w:tc>
          <w:tcPr>
            <w:tcW w:type="dxa" w:w="4680"/>
            <w:shd w:val="clear" w:color="auto" w:fill="F3F4F6"/>
          </w:tcPr>
          <w:p>
            <w:pPr>
              <w:jc w:val="right"/>
              <w:bidi w:val="1"/>
            </w:pPr>
            <w:r>
              <w:rPr>
                <w:b/>
                <w:sz w:val="18"/>
                <w:rtl w:val="1"/>
              </w:rPr>
              <w:t>أبرز الفجوات</w:t>
            </w:r>
          </w:p>
        </w:tc>
        <w:tc>
          <w:tcPr>
            <w:tcW w:type="dxa" w:w="4680"/>
          </w:tcPr>
          <w:p>
            <w:pPr>
              <w:jc w:val="right"/>
              <w:bidi w:val="1"/>
            </w:pPr>
            <w:r>
              <w:rPr>
                <w:b w:val="0"/>
                <w:sz w:val="18"/>
                <w:rtl w:val="1"/>
              </w:rPr>
              <w:t>غياب إدارة الأمن السيبراني وتعيين CISO ونموذج تشغيل الأمن السيبراني؛ غياب مركز العمليات الأمنية (SOC) ومنظومة SIEM؛ ضعف إدارة الهوية والوصول (IAM/PAM/MFA)؛ غياب فريق الاستجابة للحوادث (CSIRT) وإجراءاتها الرسمية؛ قصور إدارة الثغرات الأمنية ومنع فقدان البيانات (DLP) وضوابط الوصول عن بُعد</w:t>
            </w:r>
          </w:p>
        </w:tc>
      </w:tr>
      <w:tr>
        <w:tc>
          <w:tcPr>
            <w:tcW w:type="dxa" w:w="4680"/>
            <w:shd w:val="clear" w:color="auto" w:fill="F3F4F6"/>
          </w:tcPr>
          <w:p>
            <w:pPr>
              <w:jc w:val="right"/>
              <w:bidi w:val="1"/>
            </w:pPr>
            <w:r>
              <w:rPr>
                <w:b/>
                <w:sz w:val="18"/>
                <w:rtl w:val="1"/>
              </w:rPr>
              <w:t>أفق التنفيذ</w:t>
            </w:r>
          </w:p>
        </w:tc>
        <w:tc>
          <w:tcPr>
            <w:tcW w:type="dxa" w:w="4680"/>
          </w:tcPr>
          <w:p>
            <w:pPr>
              <w:jc w:val="right"/>
              <w:bidi w:val="1"/>
            </w:pPr>
            <w:r>
              <w:rPr>
                <w:b w:val="0"/>
                <w:sz w:val="18"/>
                <w:rtl w:val="1"/>
              </w:rPr>
              <w:t>24 شهر</w:t>
            </w:r>
          </w:p>
        </w:tc>
      </w:tr>
      <w:tr>
        <w:tc>
          <w:tcPr>
            <w:tcW w:type="dxa" w:w="4680"/>
            <w:shd w:val="clear" w:color="auto" w:fill="F3F4F6"/>
          </w:tcPr>
          <w:p>
            <w:pPr>
              <w:jc w:val="right"/>
              <w:bidi w:val="1"/>
            </w:pPr>
            <w:r>
              <w:rPr>
                <w:b/>
                <w:sz w:val="18"/>
                <w:rtl w:val="1"/>
              </w:rPr>
              <w:t>درجة الثقة</w:t>
            </w:r>
          </w:p>
        </w:tc>
        <w:tc>
          <w:tcPr>
            <w:tcW w:type="dxa" w:w="4680"/>
          </w:tcPr>
          <w:p>
            <w:pPr>
              <w:jc w:val="right"/>
              <w:bidi w:val="1"/>
            </w:pPr>
            <w:r>
              <w:rPr>
                <w:b w:val="0"/>
                <w:sz w:val="18"/>
                <w:rtl w:val="1"/>
              </w:rPr>
              <w:t>76%</w:t>
            </w:r>
          </w:p>
        </w:tc>
      </w:tr>
      <w:tr>
        <w:tc>
          <w:tcPr>
            <w:tcW w:type="dxa" w:w="4680"/>
            <w:shd w:val="clear" w:color="auto" w:fill="F3F4F6"/>
          </w:tcPr>
          <w:p>
            <w:pPr>
              <w:jc w:val="right"/>
              <w:bidi w:val="1"/>
            </w:pPr>
            <w:r>
              <w:rPr>
                <w:b/>
                <w:sz w:val="18"/>
                <w:rtl w:val="1"/>
              </w:rPr>
              <w:t>المخاطر الرئيسية</w:t>
            </w:r>
          </w:p>
        </w:tc>
        <w:tc>
          <w:tcPr>
            <w:tcW w:type="dxa" w:w="4680"/>
          </w:tcPr>
          <w:p>
            <w:pPr>
              <w:jc w:val="right"/>
              <w:bidi w:val="1"/>
            </w:pPr>
            <w:r>
              <w:rPr>
                <w:b w:val="0"/>
                <w:sz w:val="18"/>
                <w:rtl w:val="1"/>
              </w:rPr>
              <w:t>غياب سياسات الأمن السيبراني الموثقة وفق NCA ECC؛ ضعف ضوابط التحكم في الوصول وانعدام المصادقة متعددة العوامل؛ انعدام قدرة الكشف والاستجابة للحوادث الأمنية؛ التعرض لهجمات برمجيات الفدية نتيجة غياب برنامج إدارة الثغرات الأمنية؛ مخاطر الأمن السيبراني للأطراف الثالثة دون تقييم رسمي</w:t>
            </w:r>
          </w:p>
        </w:tc>
      </w:tr>
    </w:tbl>
    <w:p/>
    <w:p>
      <w:r>
        <w:br w:type="page"/>
      </w:r>
    </w:p>
    <w:p>
      <w:pPr>
        <w:spacing w:before="160" w:after="40"/>
        <w:jc w:val="right"/>
        <w:bidi w:val="1"/>
      </w:pPr>
      <w:r>
        <w:rPr>
          <w:b/>
          <w:color w:val="1D2B4F"/>
          <w:sz w:val="28"/>
          <w:rtl w:val="1"/>
        </w:rPr>
        <w:t>النطاق والأطر المرجعية المعتمدة</w:t>
      </w:r>
    </w:p>
    <w:p>
      <w:pPr>
        <w:pBdr>
          <w:bottom w:val="single" w:sz="12" w:space="2" w:color="D04A02"/>
        </w:pBdr>
        <w:spacing w:after="160"/>
      </w:pPr>
    </w:p>
    <w:p>
      <w:pPr>
        <w:jc w:val="right"/>
        <w:bidi w:val="1"/>
      </w:pPr>
      <w:r>
        <w:rPr>
          <w:b/>
          <w:color w:val="1D2B4F"/>
          <w:sz w:val="20"/>
          <w:rtl w:val="1"/>
        </w:rPr>
        <w:t>NCA ECC (Essential Cybersecurity Controls) (ECC)</w:t>
      </w:r>
    </w:p>
    <w:p>
      <w:pPr>
        <w:spacing w:after="120"/>
        <w:jc w:val="right"/>
        <w:bidi w:val="1"/>
      </w:pPr>
      <w:r>
        <w:rPr>
          <w:sz w:val="20"/>
          <w:rtl w:val="1"/>
        </w:rPr>
        <w:t>يُعكَس هذا الإطار في الاستراتيجية عبر مجالات: الحوكمة، إدارة الهوية، مركز العمليات الأمنية، الاستجابة للحوادث، إدارة الثغرات.</w:t>
      </w:r>
    </w:p>
    <w:p>
      <w:pPr>
        <w:jc w:val="right"/>
        <w:bidi w:val="1"/>
      </w:pPr>
      <w:r>
        <w:rPr>
          <w:b/>
          <w:color w:val="1D2B4F"/>
          <w:sz w:val="20"/>
          <w:rtl w:val="1"/>
        </w:rPr>
        <w:t>NCA DCC (Data Cybersecurity Controls) (DCC)</w:t>
      </w:r>
    </w:p>
    <w:p>
      <w:pPr>
        <w:spacing w:after="120"/>
        <w:jc w:val="right"/>
        <w:bidi w:val="1"/>
      </w:pPr>
      <w:r>
        <w:rPr>
          <w:sz w:val="20"/>
          <w:rtl w:val="1"/>
        </w:rPr>
        <w:t>يُعكَس هذا الإطار في الاستراتيجية عبر مجالات: تصنيف البيانات، التشفير، DLP، البيانات الحساسة، حماية البيانات.</w:t>
      </w:r>
    </w:p>
    <w:p>
      <w:r>
        <w:br w:type="page"/>
      </w:r>
    </w:p>
    <w:p>
      <w:pPr>
        <w:spacing w:before="160" w:after="40"/>
        <w:jc w:val="right"/>
        <w:bidi w:val="1"/>
      </w:pPr>
      <w:r>
        <w:rPr>
          <w:b/>
          <w:color w:val="1D2B4F"/>
          <w:sz w:val="28"/>
          <w:rtl w:val="1"/>
        </w:rPr>
        <w:t>المنهجية</w:t>
      </w:r>
    </w:p>
    <w:p>
      <w:pPr>
        <w:pBdr>
          <w:bottom w:val="single" w:sz="12" w:space="2" w:color="D04A02"/>
        </w:pBdr>
        <w:spacing w:after="160"/>
      </w:pPr>
    </w:p>
    <w:p>
      <w:pPr>
        <w:jc w:val="right"/>
        <w:bidi w:val="1"/>
      </w:pPr>
      <w:r>
        <w:rPr>
          <w:b/>
          <w:color w:val="1D2B4F"/>
          <w:sz w:val="20"/>
          <w:rtl w:val="1"/>
        </w:rPr>
        <w:t>المرحلة 1 — تحليل المدخلات التشخيصية</w:t>
      </w:r>
    </w:p>
    <w:p>
      <w:pPr>
        <w:spacing w:after="120"/>
        <w:jc w:val="right"/>
        <w:bidi w:val="1"/>
      </w:pPr>
      <w:r>
        <w:rPr>
          <w:sz w:val="20"/>
          <w:rtl w:val="1"/>
        </w:rPr>
        <w:t>مراجعة منهجية للبيانات التشخيصية المُدخلة من المنظمة (القطاع، الحجم، النضج الحالي، الأنظمة، التحديات) وتأكيد جودة المُدخلات قبل بدء أي تحليل.</w:t>
      </w:r>
    </w:p>
    <w:p>
      <w:pPr>
        <w:jc w:val="right"/>
        <w:bidi w:val="1"/>
      </w:pPr>
      <w:r>
        <w:rPr>
          <w:b/>
          <w:color w:val="1D2B4F"/>
          <w:sz w:val="20"/>
          <w:rtl w:val="1"/>
        </w:rPr>
        <w:t>المرحلة 2 — تحديد نطاق الأطر المرجعية</w:t>
      </w:r>
    </w:p>
    <w:p>
      <w:pPr>
        <w:spacing w:after="120"/>
        <w:jc w:val="right"/>
        <w:bidi w:val="1"/>
      </w:pPr>
      <w:r>
        <w:rPr>
          <w:sz w:val="20"/>
          <w:rtl w:val="1"/>
        </w:rPr>
        <w:t>اعتماد الأطر التالية كنطاق رسمي للتحليل والمواءمة: NCA ECC, NCA DCC (NCA ECC (Essential Cybersecurity Controls), NCA DCC (Data Cybersecurity Controls)).</w:t>
      </w:r>
    </w:p>
    <w:p>
      <w:pPr>
        <w:jc w:val="right"/>
        <w:bidi w:val="1"/>
      </w:pPr>
      <w:r>
        <w:rPr>
          <w:b/>
          <w:color w:val="1D2B4F"/>
          <w:sz w:val="20"/>
          <w:rtl w:val="1"/>
        </w:rPr>
        <w:t>المرحلة 3 — تحليل تغطية القدرات</w:t>
      </w:r>
    </w:p>
    <w:p>
      <w:pPr>
        <w:spacing w:after="120"/>
        <w:jc w:val="right"/>
        <w:bidi w:val="1"/>
      </w:pPr>
      <w:r>
        <w:rPr>
          <w:sz w:val="20"/>
          <w:rtl w:val="1"/>
        </w:rPr>
        <w:t>مطابقة المُدخلات والضوابط القائمة مع عائلات القدرات التي تتطلبها الأطر المختارة (الحوكمة، إدارة الهوية، المراقبة، الاستجابة، الوصول عن بُعد، حماية البيانات…).</w:t>
      </w:r>
    </w:p>
    <w:p>
      <w:pPr>
        <w:jc w:val="right"/>
        <w:bidi w:val="1"/>
      </w:pPr>
      <w:r>
        <w:rPr>
          <w:b/>
          <w:color w:val="1D2B4F"/>
          <w:sz w:val="20"/>
          <w:rtl w:val="1"/>
        </w:rPr>
        <w:t>المرحلة 4 — تحليل الفجوات وترتيب الأولويات</w:t>
      </w:r>
    </w:p>
    <w:p>
      <w:pPr>
        <w:spacing w:after="120"/>
        <w:jc w:val="right"/>
        <w:bidi w:val="1"/>
      </w:pPr>
      <w:r>
        <w:rPr>
          <w:sz w:val="20"/>
          <w:rtl w:val="1"/>
        </w:rPr>
        <w:t>استخراج الفجوات بين الوضع الحالي ومتطلبات الأطر، وترتيبها وفق الأثر والأولوية والقابلية للمعالجة.</w:t>
      </w:r>
    </w:p>
    <w:p>
      <w:pPr>
        <w:jc w:val="right"/>
        <w:bidi w:val="1"/>
      </w:pPr>
      <w:r>
        <w:rPr>
          <w:b/>
          <w:color w:val="1D2B4F"/>
          <w:sz w:val="20"/>
          <w:rtl w:val="1"/>
        </w:rPr>
        <w:t>المرحلة 5 — تصميم خارطة الطريق والمؤشرات</w:t>
      </w:r>
    </w:p>
    <w:p>
      <w:pPr>
        <w:spacing w:after="120"/>
        <w:jc w:val="right"/>
        <w:bidi w:val="1"/>
      </w:pPr>
      <w:r>
        <w:rPr>
          <w:sz w:val="20"/>
          <w:rtl w:val="1"/>
        </w:rPr>
        <w:t>بناء خارطة طريق متعددة الموجات (قصيرة/متوسطة/طويلة المدى) مرتبطة بمؤشرات أداء (KPI) ومؤشرات مخاطر (KRI) قابلة للقياس.</w:t>
      </w:r>
    </w:p>
    <w:p>
      <w:pPr>
        <w:jc w:val="right"/>
        <w:bidi w:val="1"/>
      </w:pPr>
      <w:r>
        <w:rPr>
          <w:b/>
          <w:color w:val="1D2B4F"/>
          <w:sz w:val="20"/>
          <w:rtl w:val="1"/>
        </w:rPr>
        <w:t>المرحلة 6 — تقييم المخاطر والثقة</w:t>
      </w:r>
    </w:p>
    <w:p>
      <w:pPr>
        <w:spacing w:after="120"/>
        <w:jc w:val="right"/>
        <w:bidi w:val="1"/>
      </w:pPr>
      <w:r>
        <w:rPr>
          <w:sz w:val="20"/>
          <w:rtl w:val="1"/>
        </w:rPr>
        <w:t>تقدير المخاطر التنفيذية ومخاطر التغيير، وحساب درجة ثقة شاملة في قابلية تنفيذ الاستراتيجية.</w:t>
      </w:r>
    </w:p>
    <w:p>
      <w:pPr>
        <w:jc w:val="right"/>
        <w:bidi w:val="1"/>
      </w:pPr>
      <w:r>
        <w:rPr>
          <w:b/>
          <w:color w:val="1D2B4F"/>
          <w:sz w:val="20"/>
          <w:rtl w:val="1"/>
        </w:rPr>
        <w:t>المرحلة 7 — التحقق وبوابات الجودة</w:t>
      </w:r>
    </w:p>
    <w:p>
      <w:pPr>
        <w:spacing w:after="120"/>
        <w:jc w:val="right"/>
        <w:bidi w:val="1"/>
      </w:pPr>
      <w:r>
        <w:rPr>
          <w:sz w:val="20"/>
          <w:rtl w:val="1"/>
        </w:rPr>
        <w:t>اجتياز سلسلة بوابات التحقق: التحقق من المجال، كثافة المحتوى، تغطية الأطر، التدقيق الدلالي، ثم التدقيق النهائي قبل النشر.</w:t>
      </w:r>
    </w:p>
    <w:p>
      <w:r>
        <w:br w:type="page"/>
      </w:r>
    </w:p>
    <w:p>
      <w:pPr>
        <w:spacing w:before="160" w:after="40"/>
        <w:jc w:val="right"/>
        <w:bidi w:val="1"/>
      </w:pPr>
      <w:r>
        <w:rPr>
          <w:b/>
          <w:color w:val="1D2B4F"/>
          <w:sz w:val="28"/>
          <w:rtl w:val="1"/>
        </w:rPr>
        <w:t>ملخص الوضع الراهن ومستوى النضج</w:t>
      </w:r>
    </w:p>
    <w:p>
      <w:pPr>
        <w:pBdr>
          <w:bottom w:val="single" w:sz="12" w:space="2" w:color="D04A02"/>
        </w:pBdr>
        <w:spacing w:after="160"/>
      </w:pPr>
    </w:p>
    <w:p>
      <w:pPr>
        <w:spacing w:after="120"/>
        <w:jc w:val="right"/>
        <w:bidi w:val="1"/>
      </w:pPr>
      <w:r>
        <w:rPr>
          <w:sz w:val="20"/>
          <w:rtl w:val="1"/>
        </w:rPr>
        <w:t>السياق التنظيمي: تعمل المنظمة في ظل منظومة تنظيمية متكاملة تفرضها الهيئة الوطنية للأمن السيبراني، إذ تُشكّل ضوابط الأمن السيبراني الأساسية NCA ECC الإطار التنظيمي المرجعي لحوكمة الأمن السيبراني والسياسات والضوابط التقنية والتشغيلية، فيما تُحدد ضوابط أمن البيانات NCA DCC متطلبات الامتثال المتعلقة بتصنيف البيانات الحساسة ومعالجة البيانات الحساسة وتشفير البيانات أثناء النقل والتخزين وتطبيق ضوابط منع فقدان البيانات. وتستلزم اللوائح التنظيمية النافذة أن تمتلك المنظمة إدارة متخصصة للأمن السيبراني برئاسة مسؤول تنفيذي معتمد (CISO)، وأن تُرسي لجنة حوكمة الأمن السيبراني التي تضمن الفصل الواضح بين مهام الحوكمة والعمليات والاستجابة للحوادث وإدارة الهوية وإدارة الثغرات والامتثال، وأن تُعرّف مصفوفة RACI محددة للأدوار والمسؤوليات والصلاحيات عبر جميع مستويات التشغيل وخطوط الرفع.</w:t>
      </w:r>
    </w:p>
    <w:p>
      <w:pPr>
        <w:spacing w:after="120"/>
        <w:jc w:val="right"/>
        <w:bidi w:val="1"/>
      </w:pPr>
      <w:r>
        <w:rPr>
          <w:sz w:val="20"/>
          <w:rtl w:val="1"/>
        </w:rPr>
        <w:t>سياق التهديدات: يُصنَّف القطاع الحكومي ضمن أعلى القطاعات استهدافاً في مشهد التهديدات الإقليمي والدولي، حيث تتصاعد وتيرة…</w:t>
      </w:r>
    </w:p>
    <w:p>
      <w:r>
        <w:br w:type="page"/>
      </w:r>
    </w:p>
    <w:p>
      <w:pPr>
        <w:spacing w:before="160" w:after="40"/>
        <w:jc w:val="right"/>
        <w:bidi w:val="1"/>
      </w:pPr>
      <w:r>
        <w:rPr>
          <w:b/>
          <w:color w:val="1D2B4F"/>
          <w:sz w:val="28"/>
          <w:rtl w:val="1"/>
        </w:rPr>
        <w:t>الرؤية والأهداف الاستراتيجية</w:t>
      </w:r>
    </w:p>
    <w:p>
      <w:pPr>
        <w:pBdr>
          <w:bottom w:val="single" w:sz="12" w:space="2" w:color="D04A02"/>
        </w:pBdr>
        <w:spacing w:after="160"/>
      </w:pPr>
    </w:p>
    <w:p>
      <w:pPr>
        <w:spacing w:after="120"/>
        <w:jc w:val="right"/>
        <w:bidi w:val="1"/>
      </w:pPr>
      <w:r>
        <w:rPr>
          <w:sz w:val="20"/>
          <w:rtl w:val="1"/>
        </w:rPr>
        <w:t>الرؤية: بناء برنامج أمن سيبراني مؤسسي متين في المنظمة الحكومية، يرتكز على هيكل حوكمة واضح وقدرات تشغيلية متكاملة، تُمكّن المنظمة من حماية أصولها الرقمية وصون استمرارية خدماتها وفق أعلى معايير الأمن السيبراني الوطنية.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الهدف الاستراتيجي</w:t>
            </w:r>
          </w:p>
        </w:tc>
        <w:tc>
          <w:tcPr>
            <w:tcW w:type="dxa" w:w="1872"/>
            <w:shd w:val="clear" w:color="auto" w:fill="1D2B4F"/>
          </w:tcPr>
          <w:p>
            <w:pPr>
              <w:jc w:val="right"/>
              <w:bidi w:val="1"/>
            </w:pPr>
            <w:r>
              <w:rPr>
                <w:b/>
                <w:color w:val="FFFFFF"/>
                <w:sz w:val="18"/>
                <w:rtl w:val="1"/>
              </w:rPr>
              <w:t>المستهدف القابل للقياس</w:t>
            </w:r>
          </w:p>
        </w:tc>
        <w:tc>
          <w:tcPr>
            <w:tcW w:type="dxa" w:w="1872"/>
            <w:shd w:val="clear" w:color="auto" w:fill="1D2B4F"/>
          </w:tcPr>
          <w:p>
            <w:pPr>
              <w:jc w:val="right"/>
              <w:bidi w:val="1"/>
            </w:pPr>
            <w:r>
              <w:rPr>
                <w:b/>
                <w:color w:val="FFFFFF"/>
                <w:sz w:val="18"/>
                <w:rtl w:val="1"/>
              </w:rPr>
              <w:t>المبرر</w:t>
            </w:r>
          </w:p>
        </w:tc>
        <w:tc>
          <w:tcPr>
            <w:tcW w:type="dxa" w:w="1872"/>
            <w:shd w:val="clear" w:color="auto" w:fill="1D2B4F"/>
          </w:tcPr>
          <w:p>
            <w:pPr>
              <w:jc w:val="right"/>
              <w:bidi w:val="1"/>
            </w:pPr>
            <w:r>
              <w:rPr>
                <w:b/>
                <w:color w:val="FFFFFF"/>
                <w:sz w:val="18"/>
                <w:rtl w:val="1"/>
              </w:rPr>
              <w:t>الإطار الزمني</w:t>
            </w:r>
          </w:p>
        </w:tc>
      </w:tr>
      <w:tr>
        <w:tc>
          <w:tcPr>
            <w:tcW w:type="dxa" w:w="1872"/>
          </w:tcPr>
          <w:p>
            <w:pPr>
              <w:jc w:val="right"/>
              <w:bidi w:val="1"/>
            </w:pPr>
            <w:r>
              <w:rPr>
                <w:sz w:val="16"/>
                <w:rtl w:val="1"/>
              </w:rPr>
              <w:t>1</w:t>
            </w:r>
          </w:p>
        </w:tc>
        <w:tc>
          <w:tcPr>
            <w:tcW w:type="dxa" w:w="1872"/>
          </w:tcPr>
          <w:p>
            <w:pPr>
              <w:jc w:val="right"/>
              <w:bidi w:val="1"/>
            </w:pPr>
            <w:r>
              <w:rPr>
                <w:sz w:val="16"/>
                <w:rtl w:val="1"/>
              </w:rPr>
              <w:t>تعزيز حماية البيانات عبر التصنيف والتشفير وDLP</w:t>
            </w:r>
          </w:p>
        </w:tc>
        <w:tc>
          <w:tcPr>
            <w:tcW w:type="dxa" w:w="1872"/>
          </w:tcPr>
          <w:p>
            <w:pPr>
              <w:jc w:val="right"/>
              <w:bidi w:val="1"/>
            </w:pPr>
            <w:r>
              <w:rPr>
                <w:sz w:val="16"/>
                <w:rtl w:val="1"/>
              </w:rPr>
              <w:t>حماية 95% من البيانات الحساسة المصنفة</w:t>
            </w:r>
          </w:p>
        </w:tc>
        <w:tc>
          <w:tcPr>
            <w:tcW w:type="dxa" w:w="1872"/>
          </w:tcPr>
          <w:p>
            <w:pPr>
              <w:jc w:val="right"/>
              <w:bidi w:val="1"/>
            </w:pPr>
            <w:r>
              <w:rPr>
                <w:sz w:val="16"/>
                <w:rtl w:val="1"/>
              </w:rPr>
              <w:t>تلبية متطلبات NCA DCC لحماية البيانات</w:t>
            </w:r>
          </w:p>
        </w:tc>
        <w:tc>
          <w:tcPr>
            <w:tcW w:type="dxa" w:w="1872"/>
          </w:tcPr>
          <w:p>
            <w:pPr>
              <w:jc w:val="right"/>
              <w:bidi w:val="1"/>
            </w:pPr>
            <w:r>
              <w:rPr>
                <w:sz w:val="16"/>
                <w:rtl w:val="1"/>
              </w:rPr>
              <w:t>18 شهر</w:t>
            </w:r>
          </w:p>
        </w:tc>
      </w:tr>
      <w:tr>
        <w:tc>
          <w:tcPr>
            <w:tcW w:type="dxa" w:w="1872"/>
          </w:tcPr>
          <w:p>
            <w:pPr>
              <w:jc w:val="right"/>
              <w:bidi w:val="1"/>
            </w:pPr>
            <w:r>
              <w:rPr>
                <w:sz w:val="16"/>
                <w:rtl w:val="1"/>
              </w:rPr>
              <w:t>2</w:t>
            </w:r>
          </w:p>
        </w:tc>
        <w:tc>
          <w:tcPr>
            <w:tcW w:type="dxa" w:w="1872"/>
          </w:tcPr>
          <w:p>
            <w:pPr>
              <w:jc w:val="right"/>
              <w:bidi w:val="1"/>
            </w:pPr>
            <w:r>
              <w:rPr>
                <w:sz w:val="16"/>
                <w:rtl w:val="1"/>
              </w:rPr>
              <w:t>بناء قدرة إدارة الثغرات الأمنية وتأسيس دورة مستمرة للكشف والمعالجة والتحقق عبر الأصول الحيوية</w:t>
            </w:r>
          </w:p>
        </w:tc>
        <w:tc>
          <w:tcPr>
            <w:tcW w:type="dxa" w:w="1872"/>
          </w:tcPr>
          <w:p>
            <w:pPr>
              <w:jc w:val="right"/>
              <w:bidi w:val="1"/>
            </w:pPr>
            <w:r>
              <w:rPr>
                <w:sz w:val="16"/>
                <w:rtl w:val="1"/>
              </w:rPr>
              <w:t>معالجة 85% من الثغرات الحرجة خلال 30 يوماً من اكتشافها</w:t>
            </w:r>
          </w:p>
        </w:tc>
        <w:tc>
          <w:tcPr>
            <w:tcW w:type="dxa" w:w="1872"/>
          </w:tcPr>
          <w:p>
            <w:pPr>
              <w:jc w:val="right"/>
              <w:bidi w:val="1"/>
            </w:pPr>
            <w:r>
              <w:rPr>
                <w:sz w:val="16"/>
                <w:rtl w:val="1"/>
              </w:rPr>
              <w:t>المستوى الأولي للنضج يعني غياب برنامج منهجي لإدارة الثغرات مما يُبقي الأصول الحيوية في حالة تعرّض مستمر</w:t>
            </w:r>
          </w:p>
        </w:tc>
        <w:tc>
          <w:tcPr>
            <w:tcW w:type="dxa" w:w="1872"/>
          </w:tcPr>
          <w:p>
            <w:pPr>
              <w:jc w:val="right"/>
              <w:bidi w:val="1"/>
            </w:pPr>
            <w:r>
              <w:rPr>
                <w:sz w:val="16"/>
                <w:rtl w:val="1"/>
              </w:rPr>
              <w:t>12 شهراً</w:t>
            </w:r>
          </w:p>
        </w:tc>
      </w:tr>
      <w:tr>
        <w:tc>
          <w:tcPr>
            <w:tcW w:type="dxa" w:w="1872"/>
          </w:tcPr>
          <w:p>
            <w:pPr>
              <w:jc w:val="right"/>
              <w:bidi w:val="1"/>
            </w:pPr>
            <w:r>
              <w:rPr>
                <w:sz w:val="16"/>
                <w:rtl w:val="1"/>
              </w:rPr>
              <w:t>3</w:t>
            </w:r>
          </w:p>
        </w:tc>
        <w:tc>
          <w:tcPr>
            <w:tcW w:type="dxa" w:w="1872"/>
          </w:tcPr>
          <w:p>
            <w:pPr>
              <w:jc w:val="right"/>
              <w:bidi w:val="1"/>
            </w:pPr>
            <w:r>
              <w:rPr>
                <w:sz w:val="16"/>
                <w:rtl w:val="1"/>
              </w:rPr>
              <w:t>تأسيس قدرة الاستجابة للحوادث وإنشاء فريق CSIRT مع وضع إجراءات تشغيل موحدة لإدارة الحوادث السيبرانية ورفعها</w:t>
            </w:r>
          </w:p>
        </w:tc>
        <w:tc>
          <w:tcPr>
            <w:tcW w:type="dxa" w:w="1872"/>
          </w:tcPr>
          <w:p>
            <w:pPr>
              <w:jc w:val="right"/>
              <w:bidi w:val="1"/>
            </w:pPr>
            <w:r>
              <w:rPr>
                <w:sz w:val="16"/>
                <w:rtl w:val="1"/>
              </w:rPr>
              <w:t>توثيق 100% من الحوادث المُبلَّغ عنها ومعالجتها وفق إجراءات CSIRT المعتمدة</w:t>
            </w:r>
          </w:p>
        </w:tc>
        <w:tc>
          <w:tcPr>
            <w:tcW w:type="dxa" w:w="1872"/>
          </w:tcPr>
          <w:p>
            <w:pPr>
              <w:jc w:val="right"/>
              <w:bidi w:val="1"/>
            </w:pPr>
            <w:r>
              <w:rPr>
                <w:sz w:val="16"/>
                <w:rtl w:val="1"/>
              </w:rPr>
              <w:t>غياب آليات الاستجابة ال منظّمة يُطيل زمن الاحتواء ويرفع كلفة الحوادث على المنظمة الحكومية</w:t>
            </w:r>
          </w:p>
        </w:tc>
        <w:tc>
          <w:tcPr>
            <w:tcW w:type="dxa" w:w="1872"/>
          </w:tcPr>
          <w:p>
            <w:pPr>
              <w:jc w:val="right"/>
              <w:bidi w:val="1"/>
            </w:pPr>
            <w:r>
              <w:rPr>
                <w:sz w:val="16"/>
                <w:rtl w:val="1"/>
              </w:rPr>
              <w:t>9 أشهر</w:t>
            </w:r>
          </w:p>
        </w:tc>
      </w:tr>
      <w:tr>
        <w:tc>
          <w:tcPr>
            <w:tcW w:type="dxa" w:w="1872"/>
          </w:tcPr>
          <w:p>
            <w:pPr>
              <w:jc w:val="right"/>
              <w:bidi w:val="1"/>
            </w:pPr>
            <w:r>
              <w:rPr>
                <w:sz w:val="16"/>
                <w:rtl w:val="1"/>
              </w:rPr>
              <w:t>4</w:t>
            </w:r>
          </w:p>
        </w:tc>
        <w:tc>
          <w:tcPr>
            <w:tcW w:type="dxa" w:w="1872"/>
          </w:tcPr>
          <w:p>
            <w:pPr>
              <w:jc w:val="right"/>
              <w:bidi w:val="1"/>
            </w:pPr>
            <w:r>
              <w:rPr>
                <w:sz w:val="16"/>
                <w:rtl w:val="1"/>
              </w:rPr>
              <w:t>تفعيل قدرة التحكم في الوصول والمصادقة متعددة العوامل عبر الأنظمة والتطبيقات الحيوية</w:t>
            </w:r>
          </w:p>
        </w:tc>
        <w:tc>
          <w:tcPr>
            <w:tcW w:type="dxa" w:w="1872"/>
          </w:tcPr>
          <w:p>
            <w:pPr>
              <w:jc w:val="right"/>
              <w:bidi w:val="1"/>
            </w:pPr>
            <w:r>
              <w:rPr>
                <w:sz w:val="16"/>
                <w:rtl w:val="1"/>
              </w:rPr>
              <w:t>تغطية 100% من الأنظمة الحيوية بسياسات التحكم في الوصول والمصادقة المعتمدة</w:t>
            </w:r>
          </w:p>
        </w:tc>
        <w:tc>
          <w:tcPr>
            <w:tcW w:type="dxa" w:w="1872"/>
          </w:tcPr>
          <w:p>
            <w:pPr>
              <w:jc w:val="right"/>
              <w:bidi w:val="1"/>
            </w:pPr>
            <w:r>
              <w:rPr>
                <w:sz w:val="16"/>
                <w:rtl w:val="1"/>
              </w:rPr>
              <w:t>ضعف إدارة الهوية والوصول يُمثّل ناقل هجوم رئيسياً في البيئات الحكومية ذات المستوى الأولي</w:t>
            </w:r>
          </w:p>
        </w:tc>
        <w:tc>
          <w:tcPr>
            <w:tcW w:type="dxa" w:w="1872"/>
          </w:tcPr>
          <w:p>
            <w:pPr>
              <w:jc w:val="right"/>
              <w:bidi w:val="1"/>
            </w:pPr>
            <w:r>
              <w:rPr>
                <w:sz w:val="16"/>
                <w:rtl w:val="1"/>
              </w:rPr>
              <w:t>9 أشهر</w:t>
            </w:r>
          </w:p>
        </w:tc>
      </w:tr>
      <w:tr>
        <w:tc>
          <w:tcPr>
            <w:tcW w:type="dxa" w:w="1872"/>
          </w:tcPr>
          <w:p>
            <w:pPr>
              <w:jc w:val="right"/>
              <w:bidi w:val="1"/>
            </w:pPr>
            <w:r>
              <w:rPr>
                <w:sz w:val="16"/>
                <w:rtl w:val="1"/>
              </w:rPr>
              <w:t>5</w:t>
            </w:r>
          </w:p>
        </w:tc>
        <w:tc>
          <w:tcPr>
            <w:tcW w:type="dxa" w:w="1872"/>
          </w:tcPr>
          <w:p>
            <w:pPr>
              <w:jc w:val="right"/>
              <w:bidi w:val="1"/>
            </w:pPr>
            <w:r>
              <w:rPr>
                <w:sz w:val="16"/>
                <w:rtl w:val="1"/>
              </w:rPr>
              <w:t>تحقيق الامتثال لضوابط NCA ECC وNCA DCC</w:t>
            </w:r>
          </w:p>
        </w:tc>
        <w:tc>
          <w:tcPr>
            <w:tcW w:type="dxa" w:w="1872"/>
          </w:tcPr>
          <w:p>
            <w:pPr>
              <w:jc w:val="right"/>
              <w:bidi w:val="1"/>
            </w:pPr>
            <w:r>
              <w:rPr>
                <w:sz w:val="16"/>
                <w:rtl w:val="1"/>
              </w:rPr>
              <w:t>مستوى امتثال لا يقل عن 90% للضوابط المختارة</w:t>
            </w:r>
          </w:p>
        </w:tc>
        <w:tc>
          <w:tcPr>
            <w:tcW w:type="dxa" w:w="1872"/>
          </w:tcPr>
          <w:p>
            <w:pPr>
              <w:jc w:val="right"/>
              <w:bidi w:val="1"/>
            </w:pPr>
            <w:r>
              <w:rPr>
                <w:sz w:val="16"/>
                <w:rtl w:val="1"/>
              </w:rPr>
              <w:t>مواءمة الاستراتيجية مع المتطلبات التنظيمية الوطنية</w:t>
            </w:r>
          </w:p>
        </w:tc>
        <w:tc>
          <w:tcPr>
            <w:tcW w:type="dxa" w:w="1872"/>
          </w:tcPr>
          <w:p>
            <w:pPr>
              <w:jc w:val="right"/>
              <w:bidi w:val="1"/>
            </w:pPr>
            <w:r>
              <w:rPr>
                <w:sz w:val="16"/>
                <w:rtl w:val="1"/>
              </w:rPr>
              <w:t>18 شهر</w:t>
            </w:r>
          </w:p>
        </w:tc>
      </w:tr>
      <w:tr>
        <w:tc>
          <w:tcPr>
            <w:tcW w:type="dxa" w:w="1872"/>
          </w:tcPr>
          <w:p>
            <w:pPr>
              <w:jc w:val="right"/>
              <w:bidi w:val="1"/>
            </w:pPr>
            <w:r>
              <w:rPr>
                <w:sz w:val="16"/>
                <w:rtl w:val="1"/>
              </w:rPr>
              <w:t>6</w:t>
            </w:r>
          </w:p>
        </w:tc>
        <w:tc>
          <w:tcPr>
            <w:tcW w:type="dxa" w:w="1872"/>
          </w:tcPr>
          <w:p>
            <w:pPr>
              <w:jc w:val="right"/>
              <w:bidi w:val="1"/>
            </w:pPr>
            <w:r>
              <w:rPr>
                <w:sz w:val="16"/>
                <w:rtl w:val="1"/>
              </w:rPr>
              <w:t>تأسيس قدرات الرصد والكشف عبر SOC وSIEM</w:t>
            </w:r>
          </w:p>
        </w:tc>
        <w:tc>
          <w:tcPr>
            <w:tcW w:type="dxa" w:w="1872"/>
          </w:tcPr>
          <w:p>
            <w:pPr>
              <w:jc w:val="right"/>
              <w:bidi w:val="1"/>
            </w:pPr>
            <w:r>
              <w:rPr>
                <w:sz w:val="16"/>
                <w:rtl w:val="1"/>
              </w:rPr>
              <w:t>تشغيل SOC مع تغطية SIEM للأصول الحرجة</w:t>
            </w:r>
          </w:p>
        </w:tc>
        <w:tc>
          <w:tcPr>
            <w:tcW w:type="dxa" w:w="1872"/>
          </w:tcPr>
          <w:p>
            <w:pPr>
              <w:jc w:val="right"/>
              <w:bidi w:val="1"/>
            </w:pPr>
            <w:r>
              <w:rPr>
                <w:sz w:val="16"/>
                <w:rtl w:val="1"/>
              </w:rPr>
              <w:t>تقليل زمن الكشف عن الحوادث الأمنية</w:t>
            </w:r>
          </w:p>
        </w:tc>
        <w:tc>
          <w:tcPr>
            <w:tcW w:type="dxa" w:w="1872"/>
          </w:tcPr>
          <w:p>
            <w:pPr>
              <w:jc w:val="right"/>
              <w:bidi w:val="1"/>
            </w:pPr>
            <w:r>
              <w:rPr>
                <w:sz w:val="16"/>
                <w:rtl w:val="1"/>
              </w:rPr>
              <w:t>12 شهر</w:t>
            </w:r>
          </w:p>
        </w:tc>
      </w:tr>
      <w:tr>
        <w:tc>
          <w:tcPr>
            <w:tcW w:type="dxa" w:w="1872"/>
          </w:tcPr>
          <w:p>
            <w:pPr>
              <w:jc w:val="right"/>
              <w:bidi w:val="1"/>
            </w:pPr>
            <w:r>
              <w:rPr>
                <w:sz w:val="16"/>
                <w:rtl w:val="1"/>
              </w:rPr>
              <w:t>7</w:t>
            </w:r>
          </w:p>
        </w:tc>
        <w:tc>
          <w:tcPr>
            <w:tcW w:type="dxa" w:w="1872"/>
          </w:tcPr>
          <w:p>
            <w:pPr>
              <w:jc w:val="right"/>
              <w:bidi w:val="1"/>
            </w:pPr>
            <w:r>
              <w:rPr>
                <w:sz w:val="16"/>
                <w:rtl w:val="1"/>
              </w:rPr>
              <w:t>تأسيس حوكمة الأمن السيبراني وإدارة CISO ولجنة الحوكمة</w:t>
            </w:r>
          </w:p>
        </w:tc>
        <w:tc>
          <w:tcPr>
            <w:tcW w:type="dxa" w:w="1872"/>
          </w:tcPr>
          <w:p>
            <w:pPr>
              <w:jc w:val="right"/>
              <w:bidi w:val="1"/>
            </w:pPr>
            <w:r>
              <w:rPr>
                <w:sz w:val="16"/>
                <w:rtl w:val="1"/>
              </w:rPr>
              <w:t>اعتماد هيكل CISO ولجنة حوكمة بنسبة 100%</w:t>
            </w:r>
          </w:p>
        </w:tc>
        <w:tc>
          <w:tcPr>
            <w:tcW w:type="dxa" w:w="1872"/>
          </w:tcPr>
          <w:p>
            <w:pPr>
              <w:jc w:val="right"/>
              <w:bidi w:val="1"/>
            </w:pPr>
            <w:r>
              <w:rPr>
                <w:sz w:val="16"/>
                <w:rtl w:val="1"/>
              </w:rPr>
              <w:t>ضمان قيادة واضحة ومساءلة تنفيذية على برنامج الأمن السيبراني</w:t>
            </w:r>
          </w:p>
        </w:tc>
        <w:tc>
          <w:tcPr>
            <w:tcW w:type="dxa" w:w="1872"/>
          </w:tcPr>
          <w:p>
            <w:pPr>
              <w:jc w:val="right"/>
              <w:bidi w:val="1"/>
            </w:pPr>
            <w:r>
              <w:rPr>
                <w:sz w:val="16"/>
                <w:rtl w:val="1"/>
              </w:rPr>
              <w:t>6 أشهر</w:t>
            </w:r>
          </w:p>
        </w:tc>
      </w:tr>
      <w:tr>
        <w:tc>
          <w:tcPr>
            <w:tcW w:type="dxa" w:w="1872"/>
          </w:tcPr>
          <w:p>
            <w:pPr>
              <w:jc w:val="right"/>
              <w:bidi w:val="1"/>
            </w:pPr>
            <w:r>
              <w:rPr>
                <w:sz w:val="16"/>
                <w:rtl w:val="1"/>
              </w:rPr>
              <w:t>8</w:t>
            </w:r>
          </w:p>
        </w:tc>
        <w:tc>
          <w:tcPr>
            <w:tcW w:type="dxa" w:w="1872"/>
          </w:tcPr>
          <w:p>
            <w:pPr>
              <w:jc w:val="right"/>
              <w:bidi w:val="1"/>
            </w:pPr>
            <w:r>
              <w:rPr>
                <w:sz w:val="16"/>
                <w:rtl w:val="1"/>
              </w:rPr>
              <w:t>تعزيز التوعية الأمنية واستمرارية الأعمال</w:t>
            </w:r>
          </w:p>
        </w:tc>
        <w:tc>
          <w:tcPr>
            <w:tcW w:type="dxa" w:w="1872"/>
          </w:tcPr>
          <w:p>
            <w:pPr>
              <w:jc w:val="right"/>
              <w:bidi w:val="1"/>
            </w:pPr>
            <w:r>
              <w:rPr>
                <w:sz w:val="16"/>
                <w:rtl w:val="1"/>
              </w:rPr>
              <w:t>إكمال برنامج توعية سنوي واختبار DR ناجح</w:t>
            </w:r>
          </w:p>
        </w:tc>
        <w:tc>
          <w:tcPr>
            <w:tcW w:type="dxa" w:w="1872"/>
          </w:tcPr>
          <w:p>
            <w:pPr>
              <w:jc w:val="right"/>
              <w:bidi w:val="1"/>
            </w:pPr>
            <w:r>
              <w:rPr>
                <w:sz w:val="16"/>
                <w:rtl w:val="1"/>
              </w:rPr>
              <w:t>رفع نضج الموظفين وقدرة التعافي</w:t>
            </w:r>
          </w:p>
        </w:tc>
        <w:tc>
          <w:tcPr>
            <w:tcW w:type="dxa" w:w="1872"/>
          </w:tcPr>
          <w:p>
            <w:pPr>
              <w:jc w:val="right"/>
              <w:bidi w:val="1"/>
            </w:pPr>
            <w:r>
              <w:rPr>
                <w:sz w:val="16"/>
                <w:rtl w:val="1"/>
              </w:rPr>
              <w:t>18 شهر</w:t>
            </w:r>
          </w:p>
        </w:tc>
      </w:tr>
    </w:tbl>
    <w:p/>
    <w:p>
      <w:r>
        <w:br w:type="page"/>
      </w:r>
    </w:p>
    <w:p>
      <w:pPr>
        <w:spacing w:before="160" w:after="40"/>
        <w:jc w:val="right"/>
        <w:bidi w:val="1"/>
      </w:pPr>
      <w:r>
        <w:rPr>
          <w:b/>
          <w:color w:val="1D2B4F"/>
          <w:sz w:val="28"/>
          <w:rtl w:val="1"/>
        </w:rPr>
        <w:t>الركائز الاستراتيجية</w:t>
      </w:r>
    </w:p>
    <w:p>
      <w:pPr>
        <w:pBdr>
          <w:bottom w:val="single" w:sz="12" w:space="2" w:color="D04A02"/>
        </w:pBdr>
        <w:spacing w:after="160"/>
      </w:pPr>
    </w:p>
    <w:p>
      <w:pPr>
        <w:spacing w:before="80" w:after="40"/>
        <w:jc w:val="right"/>
        <w:bidi w:val="1"/>
      </w:pPr>
      <w:r>
        <w:rPr>
          <w:b/>
          <w:color w:val="1D2B4F"/>
          <w:sz w:val="22"/>
          <w:rtl w:val="1"/>
        </w:rPr>
        <w:t>2. الركائز الاستراتيجية</w:t>
      </w:r>
    </w:p>
    <w:p>
      <w:pPr>
        <w:spacing w:before="80" w:after="40"/>
        <w:jc w:val="right"/>
        <w:bidi w:val="1"/>
      </w:pPr>
      <w:r>
        <w:rPr>
          <w:b/>
          <w:color w:val="1D2B4F"/>
          <w:sz w:val="22"/>
          <w:rtl w:val="1"/>
        </w:rPr>
        <w:t>حوكمة ونموذج التشغيل</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سياسات الحوكمة السيبرانية</w:t>
            </w:r>
          </w:p>
        </w:tc>
        <w:tc>
          <w:tcPr>
            <w:tcW w:type="dxa" w:w="1872"/>
          </w:tcPr>
          <w:p>
            <w:pPr>
              <w:jc w:val="right"/>
              <w:bidi w:val="1"/>
            </w:pPr>
            <w:r>
              <w:rPr>
                <w:sz w:val="16"/>
                <w:rtl w:val="1"/>
              </w:rPr>
              <w:t>اعتماد وتحديث سياسات الحوكمة السيبرانية وفق NCA ECC بشكل دوري</w:t>
            </w:r>
          </w:p>
        </w:tc>
        <w:tc>
          <w:tcPr>
            <w:tcW w:type="dxa" w:w="1872"/>
          </w:tcPr>
          <w:p>
            <w:pPr>
              <w:jc w:val="right"/>
              <w:bidi w:val="1"/>
            </w:pPr>
            <w:r>
              <w:rPr>
                <w:sz w:val="16"/>
                <w:rtl w:val="1"/>
              </w:rPr>
              <w:t>منصة حوكمة سيبرانية معتمدة مع مكتبة سياسات وسجلات اعتماد محدثة</w:t>
            </w:r>
          </w:p>
        </w:tc>
        <w:tc>
          <w:tcPr>
            <w:tcW w:type="dxa" w:w="1872"/>
          </w:tcPr>
          <w:p>
            <w:pPr>
              <w:jc w:val="right"/>
              <w:bidi w:val="1"/>
            </w:pPr>
            <w:r>
              <w:rPr>
                <w:sz w:val="16"/>
                <w:rtl w:val="1"/>
              </w:rPr>
              <w:t>CISO</w:t>
            </w:r>
          </w:p>
        </w:tc>
        <w:tc>
          <w:tcPr>
            <w:tcW w:type="dxa" w:w="1872"/>
          </w:tcPr>
          <w:p>
            <w:pPr>
              <w:jc w:val="right"/>
              <w:bidi w:val="1"/>
            </w:pPr>
            <w:r>
              <w:rPr>
                <w:sz w:val="16"/>
                <w:rtl w:val="1"/>
              </w:rPr>
              <w:t>—</w:t>
            </w:r>
          </w:p>
        </w:tc>
      </w:tr>
      <w:tr>
        <w:tc>
          <w:tcPr>
            <w:tcW w:type="dxa" w:w="1872"/>
          </w:tcPr>
          <w:p>
            <w:pPr>
              <w:jc w:val="right"/>
              <w:bidi w:val="1"/>
            </w:pPr>
            <w:r>
              <w:rPr>
                <w:sz w:val="16"/>
                <w:rtl w:val="1"/>
              </w:rPr>
              <w:t>لجنة حوكمة الأمن</w:t>
            </w:r>
          </w:p>
        </w:tc>
        <w:tc>
          <w:tcPr>
            <w:tcW w:type="dxa" w:w="1872"/>
          </w:tcPr>
          <w:p>
            <w:pPr>
              <w:jc w:val="right"/>
              <w:bidi w:val="1"/>
            </w:pPr>
            <w:r>
              <w:rPr>
                <w:sz w:val="16"/>
                <w:rtl w:val="1"/>
              </w:rPr>
              <w:t>ميثاق لجنة حوكمة أمن سيبراني معتمد مع اجتماعات ربع سنوية</w:t>
            </w:r>
          </w:p>
        </w:tc>
        <w:tc>
          <w:tcPr>
            <w:tcW w:type="dxa" w:w="1872"/>
          </w:tcPr>
          <w:p>
            <w:pPr>
              <w:jc w:val="right"/>
              <w:bidi w:val="1"/>
            </w:pPr>
            <w:r>
              <w:rPr>
                <w:sz w:val="16"/>
                <w:rtl w:val="1"/>
              </w:rPr>
              <w:t>لجنة حوكمة أمن سيبراني فعّالة بميثاق ومحاضر اجتماعات ربع سنوية</w:t>
            </w:r>
          </w:p>
        </w:tc>
        <w:tc>
          <w:tcPr>
            <w:tcW w:type="dxa" w:w="1872"/>
          </w:tcPr>
          <w:p>
            <w:pPr>
              <w:jc w:val="right"/>
              <w:bidi w:val="1"/>
            </w:pPr>
            <w:r>
              <w:rPr>
                <w:sz w:val="16"/>
                <w:rtl w:val="1"/>
              </w:rPr>
              <w:t>CISO</w:t>
            </w:r>
          </w:p>
        </w:tc>
        <w:tc>
          <w:tcPr>
            <w:tcW w:type="dxa" w:w="1872"/>
          </w:tcPr>
          <w:p>
            <w:pPr>
              <w:jc w:val="right"/>
              <w:bidi w:val="1"/>
            </w:pPr>
            <w:r>
              <w:rPr>
                <w:sz w:val="16"/>
                <w:rtl w:val="1"/>
              </w:rPr>
              <w:t>—</w:t>
            </w:r>
          </w:p>
        </w:tc>
      </w:tr>
      <w:tr>
        <w:tc>
          <w:tcPr>
            <w:tcW w:type="dxa" w:w="1872"/>
          </w:tcPr>
          <w:p>
            <w:pPr>
              <w:jc w:val="right"/>
              <w:bidi w:val="1"/>
            </w:pPr>
            <w:r>
              <w:rPr>
                <w:sz w:val="16"/>
                <w:rtl w:val="1"/>
              </w:rPr>
              <w:t>مصفوفة RACI</w:t>
            </w:r>
          </w:p>
        </w:tc>
        <w:tc>
          <w:tcPr>
            <w:tcW w:type="dxa" w:w="1872"/>
          </w:tcPr>
          <w:p>
            <w:pPr>
              <w:jc w:val="right"/>
              <w:bidi w:val="1"/>
            </w:pPr>
            <w:r>
              <w:rPr>
                <w:sz w:val="16"/>
                <w:rtl w:val="1"/>
              </w:rPr>
              <w:t>توزيع مسؤوليات RACI للأمن السيبراني عبر الإدارات والوظائف وفق NCA ECC</w:t>
            </w:r>
          </w:p>
        </w:tc>
        <w:tc>
          <w:tcPr>
            <w:tcW w:type="dxa" w:w="1872"/>
          </w:tcPr>
          <w:p>
            <w:pPr>
              <w:jc w:val="right"/>
              <w:bidi w:val="1"/>
            </w:pPr>
            <w:r>
              <w:rPr>
                <w:sz w:val="16"/>
                <w:rtl w:val="1"/>
              </w:rPr>
              <w:t>مصفوفة RACI معتمدة لأدوار الأمن السيبراني والامتثال</w:t>
            </w:r>
          </w:p>
        </w:tc>
        <w:tc>
          <w:tcPr>
            <w:tcW w:type="dxa" w:w="1872"/>
          </w:tcPr>
          <w:p>
            <w:pPr>
              <w:jc w:val="right"/>
              <w:bidi w:val="1"/>
            </w:pPr>
            <w:r>
              <w:rPr>
                <w:sz w:val="16"/>
                <w:rtl w:val="1"/>
              </w:rPr>
              <w:t>CISO</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الحماية والكشف والاستجابة — NCA ECC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تشغيل SOC/SIEM</w:t>
            </w:r>
          </w:p>
        </w:tc>
        <w:tc>
          <w:tcPr>
            <w:tcW w:type="dxa" w:w="1872"/>
          </w:tcPr>
          <w:p>
            <w:pPr>
              <w:jc w:val="right"/>
              <w:bidi w:val="1"/>
            </w:pPr>
            <w:r>
              <w:rPr>
                <w:sz w:val="16"/>
                <w:rtl w:val="1"/>
              </w:rPr>
              <w:t>تشغيل مركز عمليات الأمن مع قواعد SIEM والاستجابة وفق NCA ECC</w:t>
            </w:r>
          </w:p>
        </w:tc>
        <w:tc>
          <w:tcPr>
            <w:tcW w:type="dxa" w:w="1872"/>
          </w:tcPr>
          <w:p>
            <w:pPr>
              <w:jc w:val="right"/>
              <w:bidi w:val="1"/>
            </w:pPr>
            <w:r>
              <w:rPr>
                <w:sz w:val="16"/>
                <w:rtl w:val="1"/>
              </w:rPr>
              <w:t>مركز SOC تشغيلي 24/7 مع قواعد SIEM للأصول الحرجة</w:t>
            </w:r>
          </w:p>
        </w:tc>
        <w:tc>
          <w:tcPr>
            <w:tcW w:type="dxa" w:w="1872"/>
          </w:tcPr>
          <w:p>
            <w:pPr>
              <w:jc w:val="right"/>
              <w:bidi w:val="1"/>
            </w:pPr>
            <w:r>
              <w:rPr>
                <w:sz w:val="16"/>
                <w:rtl w:val="1"/>
              </w:rPr>
              <w:t>مدير SOC</w:t>
            </w:r>
          </w:p>
        </w:tc>
        <w:tc>
          <w:tcPr>
            <w:tcW w:type="dxa" w:w="1872"/>
          </w:tcPr>
          <w:p>
            <w:pPr>
              <w:jc w:val="right"/>
              <w:bidi w:val="1"/>
            </w:pPr>
            <w:r>
              <w:rPr>
                <w:sz w:val="16"/>
                <w:rtl w:val="1"/>
              </w:rPr>
              <w:t>—</w:t>
            </w:r>
          </w:p>
        </w:tc>
      </w:tr>
      <w:tr>
        <w:tc>
          <w:tcPr>
            <w:tcW w:type="dxa" w:w="1872"/>
          </w:tcPr>
          <w:p>
            <w:pPr>
              <w:jc w:val="right"/>
              <w:bidi w:val="1"/>
            </w:pPr>
            <w:r>
              <w:rPr>
                <w:sz w:val="16"/>
                <w:rtl w:val="1"/>
              </w:rPr>
              <w:t>فريق CSIRT</w:t>
            </w:r>
          </w:p>
        </w:tc>
        <w:tc>
          <w:tcPr>
            <w:tcW w:type="dxa" w:w="1872"/>
          </w:tcPr>
          <w:p>
            <w:pPr>
              <w:jc w:val="right"/>
              <w:bidi w:val="1"/>
            </w:pPr>
            <w:r>
              <w:rPr>
                <w:sz w:val="16"/>
                <w:rtl w:val="1"/>
              </w:rPr>
              <w:t>تأسيس فريق الاستجابة للحوادث وخطط الاستجابة المعتمدة والمختبرة</w:t>
            </w:r>
          </w:p>
        </w:tc>
        <w:tc>
          <w:tcPr>
            <w:tcW w:type="dxa" w:w="1872"/>
          </w:tcPr>
          <w:p>
            <w:pPr>
              <w:jc w:val="right"/>
              <w:bidi w:val="1"/>
            </w:pPr>
            <w:r>
              <w:rPr>
                <w:sz w:val="16"/>
                <w:rtl w:val="1"/>
              </w:rPr>
              <w:t>فريق CSIRT جاهز مع خطط استجابة وتمارين محاكاة سنوية</w:t>
            </w:r>
          </w:p>
        </w:tc>
        <w:tc>
          <w:tcPr>
            <w:tcW w:type="dxa" w:w="1872"/>
          </w:tcPr>
          <w:p>
            <w:pPr>
              <w:jc w:val="right"/>
              <w:bidi w:val="1"/>
            </w:pPr>
            <w:r>
              <w:rPr>
                <w:sz w:val="16"/>
                <w:rtl w:val="1"/>
              </w:rPr>
              <w:t>قائد CSIRT</w:t>
            </w:r>
          </w:p>
        </w:tc>
        <w:tc>
          <w:tcPr>
            <w:tcW w:type="dxa" w:w="1872"/>
          </w:tcPr>
          <w:p>
            <w:pPr>
              <w:jc w:val="right"/>
              <w:bidi w:val="1"/>
            </w:pPr>
            <w:r>
              <w:rPr>
                <w:sz w:val="16"/>
                <w:rtl w:val="1"/>
              </w:rPr>
              <w:t>—</w:t>
            </w:r>
          </w:p>
        </w:tc>
      </w:tr>
      <w:tr>
        <w:tc>
          <w:tcPr>
            <w:tcW w:type="dxa" w:w="1872"/>
          </w:tcPr>
          <w:p>
            <w:pPr>
              <w:jc w:val="right"/>
              <w:bidi w:val="1"/>
            </w:pPr>
            <w:r>
              <w:rPr>
                <w:sz w:val="16"/>
                <w:rtl w:val="1"/>
              </w:rPr>
              <w:t>الرصد والمراقبة</w:t>
            </w:r>
          </w:p>
        </w:tc>
        <w:tc>
          <w:tcPr>
            <w:tcW w:type="dxa" w:w="1872"/>
          </w:tcPr>
          <w:p>
            <w:pPr>
              <w:jc w:val="right"/>
              <w:bidi w:val="1"/>
            </w:pPr>
            <w:r>
              <w:rPr>
                <w:sz w:val="16"/>
                <w:rtl w:val="1"/>
              </w:rPr>
              <w:t>تشغيل قواعد SIEM والمراقبة المستمرة للأصول الحرجة والشبكات وفق NCA ECC</w:t>
            </w:r>
          </w:p>
        </w:tc>
        <w:tc>
          <w:tcPr>
            <w:tcW w:type="dxa" w:w="1872"/>
          </w:tcPr>
          <w:p>
            <w:pPr>
              <w:jc w:val="right"/>
              <w:bidi w:val="1"/>
            </w:pPr>
            <w:r>
              <w:rPr>
                <w:sz w:val="16"/>
                <w:rtl w:val="1"/>
              </w:rPr>
              <w:t>تغطية SIEM لـ 90% من الأصول الحرجة مع لوحات مراقبة</w:t>
            </w:r>
          </w:p>
        </w:tc>
        <w:tc>
          <w:tcPr>
            <w:tcW w:type="dxa" w:w="1872"/>
          </w:tcPr>
          <w:p>
            <w:pPr>
              <w:jc w:val="right"/>
              <w:bidi w:val="1"/>
            </w:pPr>
            <w:r>
              <w:rPr>
                <w:sz w:val="16"/>
                <w:rtl w:val="1"/>
              </w:rPr>
              <w:t>CISO</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الهوية وحماية البيانات — NCA DCC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IAM/PAM/MFA</w:t>
            </w:r>
          </w:p>
        </w:tc>
        <w:tc>
          <w:tcPr>
            <w:tcW w:type="dxa" w:w="1872"/>
          </w:tcPr>
          <w:p>
            <w:pPr>
              <w:jc w:val="right"/>
              <w:bidi w:val="1"/>
            </w:pPr>
            <w:r>
              <w:rPr>
                <w:sz w:val="16"/>
                <w:rtl w:val="1"/>
              </w:rPr>
              <w:t>تطبيق ضوابط IAM/PAM/MFA شاملة للحسابات الحرجة والامتيازات والوصول وفق NCA DCC</w:t>
            </w:r>
          </w:p>
        </w:tc>
        <w:tc>
          <w:tcPr>
            <w:tcW w:type="dxa" w:w="1872"/>
          </w:tcPr>
          <w:p>
            <w:pPr>
              <w:jc w:val="right"/>
              <w:bidi w:val="1"/>
            </w:pPr>
            <w:r>
              <w:rPr>
                <w:sz w:val="16"/>
                <w:rtl w:val="1"/>
              </w:rPr>
              <w:t>تغطية MFA لجميع الحسابات الحرجة والامتيازية</w:t>
            </w:r>
          </w:p>
        </w:tc>
        <w:tc>
          <w:tcPr>
            <w:tcW w:type="dxa" w:w="1872"/>
          </w:tcPr>
          <w:p>
            <w:pPr>
              <w:jc w:val="right"/>
              <w:bidi w:val="1"/>
            </w:pPr>
            <w:r>
              <w:rPr>
                <w:sz w:val="16"/>
                <w:rtl w:val="1"/>
              </w:rPr>
              <w:t>مدير IAM/PAM</w:t>
            </w:r>
          </w:p>
        </w:tc>
        <w:tc>
          <w:tcPr>
            <w:tcW w:type="dxa" w:w="1872"/>
          </w:tcPr>
          <w:p>
            <w:pPr>
              <w:jc w:val="right"/>
              <w:bidi w:val="1"/>
            </w:pPr>
            <w:r>
              <w:rPr>
                <w:sz w:val="16"/>
                <w:rtl w:val="1"/>
              </w:rPr>
              <w:t>—</w:t>
            </w:r>
          </w:p>
        </w:tc>
      </w:tr>
      <w:tr>
        <w:tc>
          <w:tcPr>
            <w:tcW w:type="dxa" w:w="1872"/>
          </w:tcPr>
          <w:p>
            <w:pPr>
              <w:jc w:val="right"/>
              <w:bidi w:val="1"/>
            </w:pPr>
            <w:r>
              <w:rPr>
                <w:sz w:val="16"/>
                <w:rtl w:val="1"/>
              </w:rPr>
              <w:t>تصنيف البيانات</w:t>
            </w:r>
          </w:p>
        </w:tc>
        <w:tc>
          <w:tcPr>
            <w:tcW w:type="dxa" w:w="1872"/>
          </w:tcPr>
          <w:p>
            <w:pPr>
              <w:jc w:val="right"/>
              <w:bidi w:val="1"/>
            </w:pPr>
            <w:r>
              <w:rPr>
                <w:sz w:val="16"/>
                <w:rtl w:val="1"/>
              </w:rPr>
              <w:t>جرد وتصنيف البيانات الحساسة وتحديث سجل التصنيف وفق NCA DCC</w:t>
            </w:r>
          </w:p>
        </w:tc>
        <w:tc>
          <w:tcPr>
            <w:tcW w:type="dxa" w:w="1872"/>
          </w:tcPr>
          <w:p>
            <w:pPr>
              <w:jc w:val="right"/>
              <w:bidi w:val="1"/>
            </w:pPr>
            <w:r>
              <w:rPr>
                <w:sz w:val="16"/>
                <w:rtl w:val="1"/>
              </w:rPr>
              <w:t>سجل بيانات مصنفة معتمد مع جرد للبيانات الحساسة</w:t>
            </w:r>
          </w:p>
        </w:tc>
        <w:tc>
          <w:tcPr>
            <w:tcW w:type="dxa" w:w="1872"/>
          </w:tcPr>
          <w:p>
            <w:pPr>
              <w:jc w:val="right"/>
              <w:bidi w:val="1"/>
            </w:pPr>
            <w:r>
              <w:rPr>
                <w:sz w:val="16"/>
                <w:rtl w:val="1"/>
              </w:rPr>
              <w:t>مدير حماية البيانات</w:t>
            </w:r>
          </w:p>
        </w:tc>
        <w:tc>
          <w:tcPr>
            <w:tcW w:type="dxa" w:w="1872"/>
          </w:tcPr>
          <w:p>
            <w:pPr>
              <w:jc w:val="right"/>
              <w:bidi w:val="1"/>
            </w:pPr>
            <w:r>
              <w:rPr>
                <w:sz w:val="16"/>
                <w:rtl w:val="1"/>
              </w:rPr>
              <w:t>—</w:t>
            </w:r>
          </w:p>
        </w:tc>
      </w:tr>
      <w:tr>
        <w:tc>
          <w:tcPr>
            <w:tcW w:type="dxa" w:w="1872"/>
          </w:tcPr>
          <w:p>
            <w:pPr>
              <w:jc w:val="right"/>
              <w:bidi w:val="1"/>
            </w:pPr>
            <w:r>
              <w:rPr>
                <w:sz w:val="16"/>
                <w:rtl w:val="1"/>
              </w:rPr>
              <w:t>DLP</w:t>
            </w:r>
          </w:p>
        </w:tc>
        <w:tc>
          <w:tcPr>
            <w:tcW w:type="dxa" w:w="1872"/>
          </w:tcPr>
          <w:p>
            <w:pPr>
              <w:jc w:val="right"/>
              <w:bidi w:val="1"/>
            </w:pPr>
            <w:r>
              <w:rPr>
                <w:sz w:val="16"/>
                <w:rtl w:val="1"/>
              </w:rPr>
              <w:t>تفعيل منصة DLP ومراقبة تسرب البيانات الحساسة بشكل مستمر</w:t>
            </w:r>
          </w:p>
        </w:tc>
        <w:tc>
          <w:tcPr>
            <w:tcW w:type="dxa" w:w="1872"/>
          </w:tcPr>
          <w:p>
            <w:pPr>
              <w:jc w:val="right"/>
              <w:bidi w:val="1"/>
            </w:pPr>
            <w:r>
              <w:rPr>
                <w:sz w:val="16"/>
                <w:rtl w:val="1"/>
              </w:rPr>
              <w:t>منصة DLP مفعّلة مع قواعد مراقبة تسرب للبيانات الحساسة</w:t>
            </w:r>
          </w:p>
        </w:tc>
        <w:tc>
          <w:tcPr>
            <w:tcW w:type="dxa" w:w="1872"/>
          </w:tcPr>
          <w:p>
            <w:pPr>
              <w:jc w:val="right"/>
              <w:bidi w:val="1"/>
            </w:pPr>
            <w:r>
              <w:rPr>
                <w:sz w:val="16"/>
                <w:rtl w:val="1"/>
              </w:rPr>
              <w:t>مدير حماية البيانات</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المرونة واستمرارية الأعمال — NCA ECC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النسخ الاحتياطي</w:t>
            </w:r>
          </w:p>
        </w:tc>
        <w:tc>
          <w:tcPr>
            <w:tcW w:type="dxa" w:w="1872"/>
          </w:tcPr>
          <w:p>
            <w:pPr>
              <w:jc w:val="right"/>
              <w:bidi w:val="1"/>
            </w:pPr>
            <w:r>
              <w:rPr>
                <w:sz w:val="16"/>
                <w:rtl w:val="1"/>
              </w:rPr>
              <w:t>اختبار النسخ الاحتياطي واستعادة البيانات الحرجة دورياً وفق NCA ECC</w:t>
            </w:r>
          </w:p>
        </w:tc>
        <w:tc>
          <w:tcPr>
            <w:tcW w:type="dxa" w:w="1872"/>
          </w:tcPr>
          <w:p>
            <w:pPr>
              <w:jc w:val="right"/>
              <w:bidi w:val="1"/>
            </w:pPr>
            <w:r>
              <w:rPr>
                <w:sz w:val="16"/>
                <w:rtl w:val="1"/>
              </w:rPr>
              <w:t>خطة نسخ احتياطي معتمدة مع اختبارات استعادة ناجحة</w:t>
            </w:r>
          </w:p>
        </w:tc>
        <w:tc>
          <w:tcPr>
            <w:tcW w:type="dxa" w:w="1872"/>
          </w:tcPr>
          <w:p>
            <w:pPr>
              <w:jc w:val="right"/>
              <w:bidi w:val="1"/>
            </w:pPr>
            <w:r>
              <w:rPr>
                <w:sz w:val="16"/>
                <w:rtl w:val="1"/>
              </w:rPr>
              <w:t>مدير IT</w:t>
            </w:r>
          </w:p>
        </w:tc>
        <w:tc>
          <w:tcPr>
            <w:tcW w:type="dxa" w:w="1872"/>
          </w:tcPr>
          <w:p>
            <w:pPr>
              <w:jc w:val="right"/>
              <w:bidi w:val="1"/>
            </w:pPr>
            <w:r>
              <w:rPr>
                <w:sz w:val="16"/>
                <w:rtl w:val="1"/>
              </w:rPr>
              <w:t>—</w:t>
            </w:r>
          </w:p>
        </w:tc>
      </w:tr>
      <w:tr>
        <w:tc>
          <w:tcPr>
            <w:tcW w:type="dxa" w:w="1872"/>
          </w:tcPr>
          <w:p>
            <w:pPr>
              <w:jc w:val="right"/>
              <w:bidi w:val="1"/>
            </w:pPr>
            <w:r>
              <w:rPr>
                <w:sz w:val="16"/>
                <w:rtl w:val="1"/>
              </w:rPr>
              <w:t>التعافي من الكوارث</w:t>
            </w:r>
          </w:p>
        </w:tc>
        <w:tc>
          <w:tcPr>
            <w:tcW w:type="dxa" w:w="1872"/>
          </w:tcPr>
          <w:p>
            <w:pPr>
              <w:jc w:val="right"/>
              <w:bidi w:val="1"/>
            </w:pPr>
            <w:r>
              <w:rPr>
                <w:sz w:val="16"/>
                <w:rtl w:val="1"/>
              </w:rPr>
              <w:t>اختبار خطط التعافي من الكوارث واستمرارية الأنظمة وفق NCA ECC</w:t>
            </w:r>
          </w:p>
        </w:tc>
        <w:tc>
          <w:tcPr>
            <w:tcW w:type="dxa" w:w="1872"/>
          </w:tcPr>
          <w:p>
            <w:pPr>
              <w:jc w:val="right"/>
              <w:bidi w:val="1"/>
            </w:pPr>
            <w:r>
              <w:rPr>
                <w:sz w:val="16"/>
                <w:rtl w:val="1"/>
              </w:rPr>
              <w:t>خطة تعافي من الكوارث مختبرة مع RTO/RPO معتمدة</w:t>
            </w:r>
          </w:p>
        </w:tc>
        <w:tc>
          <w:tcPr>
            <w:tcW w:type="dxa" w:w="1872"/>
          </w:tcPr>
          <w:p>
            <w:pPr>
              <w:jc w:val="right"/>
              <w:bidi w:val="1"/>
            </w:pPr>
            <w:r>
              <w:rPr>
                <w:sz w:val="16"/>
                <w:rtl w:val="1"/>
              </w:rPr>
              <w:t>مدير BCP</w:t>
            </w:r>
          </w:p>
        </w:tc>
        <w:tc>
          <w:tcPr>
            <w:tcW w:type="dxa" w:w="1872"/>
          </w:tcPr>
          <w:p>
            <w:pPr>
              <w:jc w:val="right"/>
              <w:bidi w:val="1"/>
            </w:pPr>
            <w:r>
              <w:rPr>
                <w:sz w:val="16"/>
                <w:rtl w:val="1"/>
              </w:rPr>
              <w:t>—</w:t>
            </w:r>
          </w:p>
        </w:tc>
      </w:tr>
      <w:tr>
        <w:tc>
          <w:tcPr>
            <w:tcW w:type="dxa" w:w="1872"/>
          </w:tcPr>
          <w:p>
            <w:pPr>
              <w:jc w:val="right"/>
              <w:bidi w:val="1"/>
            </w:pPr>
            <w:r>
              <w:rPr>
                <w:sz w:val="16"/>
                <w:rtl w:val="1"/>
              </w:rPr>
              <w:t>استمرارية الأعمال</w:t>
            </w:r>
          </w:p>
        </w:tc>
        <w:tc>
          <w:tcPr>
            <w:tcW w:type="dxa" w:w="1872"/>
          </w:tcPr>
          <w:p>
            <w:pPr>
              <w:jc w:val="right"/>
              <w:bidi w:val="1"/>
            </w:pPr>
            <w:r>
              <w:rPr>
                <w:sz w:val="16"/>
                <w:rtl w:val="1"/>
              </w:rPr>
              <w:t>اعتماد خطط BCP للعمليات الحرجة واختبارها دورياً والتحديث وفق NCA ECC</w:t>
            </w:r>
          </w:p>
        </w:tc>
        <w:tc>
          <w:tcPr>
            <w:tcW w:type="dxa" w:w="1872"/>
          </w:tcPr>
          <w:p>
            <w:pPr>
              <w:jc w:val="right"/>
              <w:bidi w:val="1"/>
            </w:pPr>
            <w:r>
              <w:rPr>
                <w:sz w:val="16"/>
                <w:rtl w:val="1"/>
              </w:rPr>
              <w:t>خطط استمرارية أعمال معتمدة للعمليات الحرجة</w:t>
            </w:r>
          </w:p>
        </w:tc>
        <w:tc>
          <w:tcPr>
            <w:tcW w:type="dxa" w:w="1872"/>
          </w:tcPr>
          <w:p>
            <w:pPr>
              <w:jc w:val="right"/>
              <w:bidi w:val="1"/>
            </w:pPr>
            <w:r>
              <w:rPr>
                <w:sz w:val="16"/>
                <w:rtl w:val="1"/>
              </w:rPr>
              <w:t>مدير BCP</w:t>
            </w:r>
          </w:p>
        </w:tc>
        <w:tc>
          <w:tcPr>
            <w:tcW w:type="dxa" w:w="1872"/>
          </w:tcPr>
          <w:p>
            <w:pPr>
              <w:jc w:val="right"/>
              <w:bidi w:val="1"/>
            </w:pPr>
            <w:r>
              <w:rPr>
                <w:sz w:val="16"/>
                <w:rtl w:val="1"/>
              </w:rPr>
              <w:t>—</w:t>
            </w:r>
          </w:p>
        </w:tc>
      </w:tr>
    </w:tbl>
    <w:p/>
    <w:p>
      <w:r>
        <w:br w:type="page"/>
      </w:r>
    </w:p>
    <w:p>
      <w:pPr>
        <w:spacing w:before="160" w:after="40"/>
        <w:jc w:val="right"/>
        <w:bidi w:val="1"/>
      </w:pPr>
      <w:r>
        <w:rPr>
          <w:b/>
          <w:color w:val="1D2B4F"/>
          <w:sz w:val="28"/>
          <w:rtl w:val="1"/>
        </w:rPr>
        <w:t>البيئة التنظيمية والتهديدات</w:t>
      </w:r>
    </w:p>
    <w:p>
      <w:pPr>
        <w:pBdr>
          <w:bottom w:val="single" w:sz="12" w:space="2" w:color="D04A02"/>
        </w:pBdr>
        <w:spacing w:after="160"/>
      </w:pPr>
    </w:p>
    <w:p>
      <w:pPr>
        <w:spacing w:after="120"/>
        <w:jc w:val="right"/>
        <w:bidi w:val="1"/>
      </w:pPr>
      <w:r>
        <w:rPr>
          <w:sz w:val="20"/>
          <w:rtl w:val="1"/>
        </w:rPr>
        <w:t>السياق التنظيمي: تعمل المنظمة في ظل منظومة تنظيمية متكاملة تفرضها الهيئة الوطنية للأمن السيبراني، إذ تُشكّل ضوابط الأمن السيبراني الأساسية NCA ECC الإطار التنظيمي المرجعي لحوكمة الأمن السيبراني والسياسات والضوابط التقنية والتشغيلية، فيما تُحدد ضوابط أمن البيانات NCA DCC متطلبات الامتثال المتعلقة بتصنيف البيانات الحساسة ومعالجة البيانات الحساسة وتشفير البيانات أثناء النقل والتخزين وتطبيق ضوابط منع فقدان البيانات. وتستلزم اللوائح التنظيمية النافذة أن تمتلك المنظمة إدارة متخصصة للأمن السيبراني برئاسة مسؤول تنفيذي معتمد (CISO)، وأن تُرسي لجنة حوكمة الأمن السيبراني التي تضمن الفصل الواضح بين مهام الحوكمة والعمليات والاستجابة للحوادث وإدارة الهوية وإدارة الثغرات والامتثال، وأن تُعرّف مصفوفة RACI محددة للأدوار والمسؤوليات والصلاحيات عبر جميع مستويات التشغيل وخطوط الرفع.</w:t>
      </w:r>
    </w:p>
    <w:p>
      <w:pPr>
        <w:spacing w:after="120"/>
        <w:jc w:val="right"/>
        <w:bidi w:val="1"/>
      </w:pPr>
      <w:r>
        <w:rPr>
          <w:sz w:val="20"/>
          <w:rtl w:val="1"/>
        </w:rPr>
        <w:t>سياق التهديدات: يُصنَّف القطاع الحكومي ضمن أعلى القطاعات استهدافاً في مشهد التهديدات الإقليمي والدولي، حيث تتصاعد وتيرة الهجمات الموجهة التي تستغل الثغرات الأمنية في الأنظمة الحرجة غير المُصحَّحة، وتنتشر حوادث التصيد الاحتيالي والهندسة الاجتماعية بوصفها ناقلات اختراق رئيسية تستهدف الموظفين في غياب برامج التوعية والتدريب ال منتظمة. وتُشكّل برمجيات الفدية تهديداً وجودياً مباشراً لاستمرارية الخدمات الحكومية، فيما تستغل الجهات التهديدية الثغرات الصفرية والثغرات الأمنية في بيئات التشغيل لاختراق الأنظمة وتسريب البيانات الحساسة. ويُفاقم من حدة هذه التهديدات غياب مركز العمليات الأمنية (SOC) ومنصة SIEM للمراقبة والكشف الفوري، وضعف قدرات الاستجابة للحوادث والافتقار إلى فريق CSIRT مُهيكل، مما يُطيل زمن الكشف ويُعظّم الأثر التشغيلي والمؤسسي لأي اختراق.</w:t>
      </w:r>
    </w:p>
    <w:p>
      <w:pPr>
        <w:spacing w:after="120"/>
        <w:jc w:val="right"/>
        <w:bidi w:val="1"/>
      </w:pPr>
      <w:r>
        <w:rPr>
          <w:sz w:val="20"/>
          <w:rtl w:val="1"/>
        </w:rPr>
        <w:t>السياق التشغيلي وسياق الأعمال: تواجه المنظمة الحكومية ضغوطاً متزايدة لمواكبة متطلبات التحول الرقمي في تقديم الخدمات، مما يرفع من درجة الاعتماد على الأنظمة الرقمية ويُوسّع سطح الهجوم التشغيلي في ظل مستوى نضج أمني ابتدائي. ويُشكّل غياب إدارة متخصصة للأمن السيبراني وعدم تعيين رئيس الأمن السيبراني (CISO) وضعف التكامل بين الأعمال والأمن المؤسسي فجوة جوهرية تُهدد استمرارية الأعمال وتُعرّض الخدمات الحيوية للانقطاع. وتتضاعف المخاطر التشغيلية في غياب ضوابط حماية البيانات الفعّالة وبرامج النسخ الاحتياطي ال منتظم وخطط التعافي من الكوارث وآليات استعادة الخدمات المحددة، كما تُلقي ثغرات إدارة الهوية والوصول المميز وغياب المصادقة متعددة العوامل بظلالها على سلامة الأصول الحيوية في القطاع الحكومي.</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التهديد / الفجوة</w:t>
            </w:r>
          </w:p>
        </w:tc>
        <w:tc>
          <w:tcPr>
            <w:tcW w:type="dxa" w:w="2340"/>
            <w:shd w:val="clear" w:color="auto" w:fill="1D2B4F"/>
          </w:tcPr>
          <w:p>
            <w:pPr>
              <w:jc w:val="right"/>
              <w:bidi w:val="1"/>
            </w:pPr>
            <w:r>
              <w:rPr>
                <w:b/>
                <w:color w:val="FFFFFF"/>
                <w:sz w:val="18"/>
                <w:rtl w:val="1"/>
              </w:rPr>
              <w:t>الأثر</w:t>
            </w:r>
          </w:p>
        </w:tc>
        <w:tc>
          <w:tcPr>
            <w:tcW w:type="dxa" w:w="2340"/>
            <w:shd w:val="clear" w:color="auto" w:fill="1D2B4F"/>
          </w:tcPr>
          <w:p>
            <w:pPr>
              <w:jc w:val="right"/>
              <w:bidi w:val="1"/>
            </w:pPr>
            <w:r>
              <w:rPr>
                <w:b/>
                <w:color w:val="FFFFFF"/>
                <w:sz w:val="18"/>
                <w:rtl w:val="1"/>
              </w:rPr>
              <w:t>الأولوية</w:t>
            </w:r>
          </w:p>
        </w:tc>
        <w:tc>
          <w:tcPr>
            <w:tcW w:type="dxa" w:w="2340"/>
            <w:shd w:val="clear" w:color="auto" w:fill="1D2B4F"/>
          </w:tcPr>
          <w:p>
            <w:pPr>
              <w:jc w:val="right"/>
              <w:bidi w:val="1"/>
            </w:pPr>
            <w:r>
              <w:rPr>
                <w:b/>
                <w:color w:val="FFFFFF"/>
                <w:sz w:val="18"/>
                <w:rtl w:val="1"/>
              </w:rPr>
              <w:t>المعالجة المقترحة</w:t>
            </w:r>
          </w:p>
        </w:tc>
      </w:tr>
      <w:tr>
        <w:tc>
          <w:tcPr>
            <w:tcW w:type="dxa" w:w="2340"/>
          </w:tcPr>
          <w:p>
            <w:pPr>
              <w:jc w:val="right"/>
              <w:bidi w:val="1"/>
            </w:pPr>
            <w:r>
              <w:rPr>
                <w:sz w:val="16"/>
                <w:rtl w:val="1"/>
              </w:rPr>
              <w:t>غياب هيكل حوكمة الأمن السيبراني وعدم تعيين CISO وإدارة متخصصة</w:t>
            </w:r>
          </w:p>
        </w:tc>
        <w:tc>
          <w:tcPr>
            <w:tcW w:type="dxa" w:w="2340"/>
          </w:tcPr>
          <w:p>
            <w:pPr>
              <w:jc w:val="right"/>
              <w:bidi w:val="1"/>
            </w:pPr>
            <w:r>
              <w:rPr>
                <w:sz w:val="16"/>
                <w:rtl w:val="1"/>
              </w:rPr>
              <w:t>انعدام المساءلة التنظيمية وفشل الامتثال الشامل للوائح وضياع السياسات الأمنية</w:t>
            </w:r>
          </w:p>
        </w:tc>
        <w:tc>
          <w:tcPr>
            <w:tcW w:type="dxa" w:w="2340"/>
          </w:tcPr>
          <w:p>
            <w:pPr>
              <w:jc w:val="right"/>
              <w:bidi w:val="1"/>
            </w:pPr>
            <w:r>
              <w:rPr>
                <w:sz w:val="16"/>
                <w:rtl w:val="1"/>
              </w:rPr>
              <w:t>عالية</w:t>
            </w:r>
          </w:p>
        </w:tc>
        <w:tc>
          <w:tcPr>
            <w:tcW w:type="dxa" w:w="2340"/>
          </w:tcPr>
          <w:p>
            <w:pPr>
              <w:jc w:val="right"/>
              <w:bidi w:val="1"/>
            </w:pPr>
            <w:r>
              <w:rPr>
                <w:sz w:val="16"/>
                <w:rtl w:val="1"/>
              </w:rPr>
              <w:t>تنفيذ خطة معالجة معتمدة مع مالك ومخرج قابل للقياس خلال 90 يوماً</w:t>
            </w:r>
          </w:p>
        </w:tc>
      </w:tr>
      <w:tr>
        <w:tc>
          <w:tcPr>
            <w:tcW w:type="dxa" w:w="2340"/>
          </w:tcPr>
          <w:p>
            <w:pPr>
              <w:jc w:val="right"/>
              <w:bidi w:val="1"/>
            </w:pPr>
            <w:r>
              <w:rPr>
                <w:sz w:val="16"/>
                <w:rtl w:val="1"/>
              </w:rPr>
              <w:t>ضعف ضوابط إدارة الهوية والوصول المميز وغياب المصادقة متعددة العوامل</w:t>
            </w:r>
          </w:p>
        </w:tc>
        <w:tc>
          <w:tcPr>
            <w:tcW w:type="dxa" w:w="2340"/>
          </w:tcPr>
          <w:p>
            <w:pPr>
              <w:jc w:val="right"/>
              <w:bidi w:val="1"/>
            </w:pPr>
            <w:r>
              <w:rPr>
                <w:sz w:val="16"/>
                <w:rtl w:val="1"/>
              </w:rPr>
              <w:t>اختراق الحسابات المميزة وتصعيد الصلاحيات والوصول غير المصرح به للأنظمة الحرجة</w:t>
            </w:r>
          </w:p>
        </w:tc>
        <w:tc>
          <w:tcPr>
            <w:tcW w:type="dxa" w:w="2340"/>
          </w:tcPr>
          <w:p>
            <w:pPr>
              <w:jc w:val="right"/>
              <w:bidi w:val="1"/>
            </w:pPr>
            <w:r>
              <w:rPr>
                <w:sz w:val="16"/>
                <w:rtl w:val="1"/>
              </w:rPr>
              <w:t>عالية</w:t>
            </w:r>
          </w:p>
        </w:tc>
        <w:tc>
          <w:tcPr>
            <w:tcW w:type="dxa" w:w="2340"/>
          </w:tcPr>
          <w:p>
            <w:pPr>
              <w:jc w:val="right"/>
              <w:bidi w:val="1"/>
            </w:pPr>
            <w:r>
              <w:rPr>
                <w:sz w:val="16"/>
                <w:rtl w:val="1"/>
              </w:rPr>
              <w:t>تطبيق ضوابط ECC/DCC ذات الأولوية مع تقرير تقدم ربع سنوي</w:t>
            </w:r>
          </w:p>
        </w:tc>
      </w:tr>
      <w:tr>
        <w:tc>
          <w:tcPr>
            <w:tcW w:type="dxa" w:w="2340"/>
          </w:tcPr>
          <w:p>
            <w:pPr>
              <w:jc w:val="right"/>
              <w:bidi w:val="1"/>
            </w:pPr>
            <w:r>
              <w:rPr>
                <w:sz w:val="16"/>
                <w:rtl w:val="1"/>
              </w:rPr>
              <w:t>غياب مركز العمليات الأمنية (SOC) ومنصة SIEM للمراقبة والكشف</w:t>
            </w:r>
          </w:p>
        </w:tc>
        <w:tc>
          <w:tcPr>
            <w:tcW w:type="dxa" w:w="2340"/>
          </w:tcPr>
          <w:p>
            <w:pPr>
              <w:jc w:val="right"/>
              <w:bidi w:val="1"/>
            </w:pPr>
            <w:r>
              <w:rPr>
                <w:sz w:val="16"/>
                <w:rtl w:val="1"/>
              </w:rPr>
              <w:t>إطالة زمن الكشف عن الحوادث واختراق البيانات الحساسة دون علم المنظمة</w:t>
            </w:r>
          </w:p>
        </w:tc>
        <w:tc>
          <w:tcPr>
            <w:tcW w:type="dxa" w:w="2340"/>
          </w:tcPr>
          <w:p>
            <w:pPr>
              <w:jc w:val="right"/>
              <w:bidi w:val="1"/>
            </w:pPr>
            <w:r>
              <w:rPr>
                <w:sz w:val="16"/>
                <w:rtl w:val="1"/>
              </w:rPr>
              <w:t>عالية</w:t>
            </w:r>
          </w:p>
        </w:tc>
        <w:tc>
          <w:tcPr>
            <w:tcW w:type="dxa" w:w="2340"/>
          </w:tcPr>
          <w:p>
            <w:pPr>
              <w:jc w:val="right"/>
              <w:bidi w:val="1"/>
            </w:pPr>
            <w:r>
              <w:rPr>
                <w:sz w:val="16"/>
                <w:rtl w:val="1"/>
              </w:rPr>
              <w:t>إعداد خطة عمل تفصيلية مع RACI ومواعيد تنفيذ محددة</w:t>
            </w:r>
          </w:p>
        </w:tc>
      </w:tr>
      <w:tr>
        <w:tc>
          <w:tcPr>
            <w:tcW w:type="dxa" w:w="2340"/>
          </w:tcPr>
          <w:p>
            <w:pPr>
              <w:jc w:val="right"/>
              <w:bidi w:val="1"/>
            </w:pPr>
            <w:r>
              <w:rPr>
                <w:sz w:val="16"/>
                <w:rtl w:val="1"/>
              </w:rPr>
              <w:t>انعدام قدرات الاستجابة للحوادث وغياب فريق CSIRT المُهيكل</w:t>
            </w:r>
          </w:p>
        </w:tc>
        <w:tc>
          <w:tcPr>
            <w:tcW w:type="dxa" w:w="2340"/>
          </w:tcPr>
          <w:p>
            <w:pPr>
              <w:jc w:val="right"/>
              <w:bidi w:val="1"/>
            </w:pPr>
            <w:r>
              <w:rPr>
                <w:sz w:val="16"/>
                <w:rtl w:val="1"/>
              </w:rPr>
              <w:t>تضخيم الأثر التشغيلي للحوادث السيبرانية وتعطيل الخدمات الحكومية الحيوية</w:t>
            </w:r>
          </w:p>
        </w:tc>
        <w:tc>
          <w:tcPr>
            <w:tcW w:type="dxa" w:w="2340"/>
          </w:tcPr>
          <w:p>
            <w:pPr>
              <w:jc w:val="right"/>
              <w:bidi w:val="1"/>
            </w:pPr>
            <w:r>
              <w:rPr>
                <w:sz w:val="16"/>
                <w:rtl w:val="1"/>
              </w:rPr>
              <w:t>عالية</w:t>
            </w:r>
          </w:p>
        </w:tc>
        <w:tc>
          <w:tcPr>
            <w:tcW w:type="dxa" w:w="2340"/>
          </w:tcPr>
          <w:p>
            <w:pPr>
              <w:jc w:val="right"/>
              <w:bidi w:val="1"/>
            </w:pPr>
            <w:r>
              <w:rPr>
                <w:sz w:val="16"/>
                <w:rtl w:val="1"/>
              </w:rPr>
              <w:t>تفعيل الضوابط المطلوبة وربطها بمؤشرات أداء قابلة للمراجعة</w:t>
            </w:r>
          </w:p>
        </w:tc>
      </w:tr>
      <w:tr>
        <w:tc>
          <w:tcPr>
            <w:tcW w:type="dxa" w:w="2340"/>
          </w:tcPr>
          <w:p>
            <w:pPr>
              <w:jc w:val="right"/>
              <w:bidi w:val="1"/>
            </w:pPr>
            <w:r>
              <w:rPr>
                <w:sz w:val="16"/>
                <w:rtl w:val="1"/>
              </w:rPr>
              <w:t>ضعف إدارة الثغرات الأمنية وغياب برنامج التصحيح الدوري</w:t>
            </w:r>
          </w:p>
        </w:tc>
        <w:tc>
          <w:tcPr>
            <w:tcW w:type="dxa" w:w="2340"/>
          </w:tcPr>
          <w:p>
            <w:pPr>
              <w:jc w:val="right"/>
              <w:bidi w:val="1"/>
            </w:pPr>
            <w:r>
              <w:rPr>
                <w:sz w:val="16"/>
                <w:rtl w:val="1"/>
              </w:rPr>
              <w:t>استغلال الثغرات الأمنية في الأنظمة الحرجة وتمكين الثغرات الصفرية من الانتشار</w:t>
            </w:r>
          </w:p>
        </w:tc>
        <w:tc>
          <w:tcPr>
            <w:tcW w:type="dxa" w:w="2340"/>
          </w:tcPr>
          <w:p>
            <w:pPr>
              <w:jc w:val="right"/>
              <w:bidi w:val="1"/>
            </w:pPr>
            <w:r>
              <w:rPr>
                <w:sz w:val="16"/>
                <w:rtl w:val="1"/>
              </w:rPr>
              <w:t>عالية</w:t>
            </w:r>
          </w:p>
        </w:tc>
        <w:tc>
          <w:tcPr>
            <w:tcW w:type="dxa" w:w="2340"/>
          </w:tcPr>
          <w:p>
            <w:pPr>
              <w:jc w:val="right"/>
              <w:bidi w:val="1"/>
            </w:pPr>
            <w:r>
              <w:rPr>
                <w:sz w:val="16"/>
                <w:rtl w:val="1"/>
              </w:rPr>
              <w:t>تخصيص مالك للمعالجة وتوثيق إجراءات التحقق الدورية</w:t>
            </w:r>
          </w:p>
        </w:tc>
      </w:tr>
      <w:tr>
        <w:tc>
          <w:tcPr>
            <w:tcW w:type="dxa" w:w="2340"/>
          </w:tcPr>
          <w:p>
            <w:pPr>
              <w:jc w:val="right"/>
              <w:bidi w:val="1"/>
            </w:pPr>
            <w:r>
              <w:rPr>
                <w:sz w:val="16"/>
                <w:rtl w:val="1"/>
              </w:rPr>
              <w:t>قصور ضوابط تصنيف البيانات الحساسة ومعالجة البيانات الحساسة وضعف تداول البيانات الحساسة</w:t>
            </w:r>
          </w:p>
        </w:tc>
        <w:tc>
          <w:tcPr>
            <w:tcW w:type="dxa" w:w="2340"/>
          </w:tcPr>
          <w:p>
            <w:pPr>
              <w:jc w:val="right"/>
              <w:bidi w:val="1"/>
            </w:pPr>
            <w:r>
              <w:rPr>
                <w:sz w:val="16"/>
                <w:rtl w:val="1"/>
              </w:rPr>
              <w:t>تسريب المعلومات الحكومية الحساسة وانتهاك ضوابط التعامل مع البيانات الحساسة وعدم الامتثال</w:t>
            </w:r>
          </w:p>
        </w:tc>
        <w:tc>
          <w:tcPr>
            <w:tcW w:type="dxa" w:w="2340"/>
          </w:tcPr>
          <w:p>
            <w:pPr>
              <w:jc w:val="right"/>
              <w:bidi w:val="1"/>
            </w:pPr>
            <w:r>
              <w:rPr>
                <w:sz w:val="16"/>
                <w:rtl w:val="1"/>
              </w:rPr>
              <w:t>عالية</w:t>
            </w:r>
          </w:p>
        </w:tc>
        <w:tc>
          <w:tcPr>
            <w:tcW w:type="dxa" w:w="2340"/>
          </w:tcPr>
          <w:p>
            <w:pPr>
              <w:jc w:val="right"/>
              <w:bidi w:val="1"/>
            </w:pPr>
            <w:r>
              <w:rPr>
                <w:sz w:val="16"/>
                <w:rtl w:val="1"/>
              </w:rPr>
              <w:t>تنفيذ خطة معالجة معتمدة مع مالك ومخرج قابل للقياس خلال 90 يوماً</w:t>
            </w:r>
          </w:p>
        </w:tc>
      </w:tr>
      <w:tr>
        <w:tc>
          <w:tcPr>
            <w:tcW w:type="dxa" w:w="2340"/>
          </w:tcPr>
          <w:p>
            <w:pPr>
              <w:jc w:val="right"/>
              <w:bidi w:val="1"/>
            </w:pPr>
            <w:r>
              <w:rPr>
                <w:sz w:val="16"/>
                <w:rtl w:val="1"/>
              </w:rPr>
              <w:t>غياب ضوابط تشفير البيانات أثناء النقل والتخزين وضعف منع فقدان البيانات (DLP)</w:t>
            </w:r>
          </w:p>
        </w:tc>
        <w:tc>
          <w:tcPr>
            <w:tcW w:type="dxa" w:w="2340"/>
          </w:tcPr>
          <w:p>
            <w:pPr>
              <w:jc w:val="right"/>
              <w:bidi w:val="1"/>
            </w:pPr>
            <w:r>
              <w:rPr>
                <w:sz w:val="16"/>
                <w:rtl w:val="1"/>
              </w:rPr>
              <w:t>اختراق البيانات الحساسة أثناء نقلها وتخزينها وتسريبها عبر القنوات غير المحمية</w:t>
            </w:r>
          </w:p>
        </w:tc>
        <w:tc>
          <w:tcPr>
            <w:tcW w:type="dxa" w:w="2340"/>
          </w:tcPr>
          <w:p>
            <w:pPr>
              <w:jc w:val="right"/>
              <w:bidi w:val="1"/>
            </w:pPr>
            <w:r>
              <w:rPr>
                <w:sz w:val="16"/>
                <w:rtl w:val="1"/>
              </w:rPr>
              <w:t>عالية</w:t>
            </w:r>
          </w:p>
        </w:tc>
        <w:tc>
          <w:tcPr>
            <w:tcW w:type="dxa" w:w="2340"/>
          </w:tcPr>
          <w:p>
            <w:pPr>
              <w:jc w:val="right"/>
              <w:bidi w:val="1"/>
            </w:pPr>
            <w:r>
              <w:rPr>
                <w:sz w:val="16"/>
                <w:rtl w:val="1"/>
              </w:rPr>
              <w:t>تطبيق ضوابط ECC/DCC ذات الأولوية مع تقرير تقدم ربع سنوي</w:t>
            </w:r>
          </w:p>
        </w:tc>
      </w:tr>
      <w:tr>
        <w:tc>
          <w:tcPr>
            <w:tcW w:type="dxa" w:w="2340"/>
          </w:tcPr>
          <w:p>
            <w:pPr>
              <w:jc w:val="right"/>
              <w:bidi w:val="1"/>
            </w:pPr>
            <w:r>
              <w:rPr>
                <w:sz w:val="16"/>
                <w:rtl w:val="1"/>
              </w:rPr>
              <w:t>ضعف برامج التوعية والتدريب الأمني وارتفاع معدلات نجاح التصيد الاحتيالي</w:t>
            </w:r>
          </w:p>
        </w:tc>
        <w:tc>
          <w:tcPr>
            <w:tcW w:type="dxa" w:w="2340"/>
          </w:tcPr>
          <w:p>
            <w:pPr>
              <w:jc w:val="right"/>
              <w:bidi w:val="1"/>
            </w:pPr>
            <w:r>
              <w:rPr>
                <w:sz w:val="16"/>
                <w:rtl w:val="1"/>
              </w:rPr>
              <w:t>اختراق البيئة التشغيلية عبر الهندسة الاجتماعية وتفعيل برمجيات الفدية والبرمجيات الخبيثة</w:t>
            </w:r>
          </w:p>
        </w:tc>
        <w:tc>
          <w:tcPr>
            <w:tcW w:type="dxa" w:w="2340"/>
          </w:tcPr>
          <w:p>
            <w:pPr>
              <w:jc w:val="right"/>
              <w:bidi w:val="1"/>
            </w:pPr>
            <w:r>
              <w:rPr>
                <w:sz w:val="16"/>
                <w:rtl w:val="1"/>
              </w:rPr>
              <w:t>عالية</w:t>
            </w:r>
          </w:p>
        </w:tc>
        <w:tc>
          <w:tcPr>
            <w:tcW w:type="dxa" w:w="2340"/>
          </w:tcPr>
          <w:p>
            <w:pPr>
              <w:jc w:val="right"/>
              <w:bidi w:val="1"/>
            </w:pPr>
            <w:r>
              <w:rPr>
                <w:sz w:val="16"/>
                <w:rtl w:val="1"/>
              </w:rPr>
              <w:t>إعداد خطة عمل تفصيلية مع RACI ومواعيد تنفيذ محددة</w:t>
            </w:r>
          </w:p>
        </w:tc>
      </w:tr>
      <w:tr>
        <w:tc>
          <w:tcPr>
            <w:tcW w:type="dxa" w:w="2340"/>
          </w:tcPr>
          <w:p>
            <w:pPr>
              <w:jc w:val="right"/>
              <w:bidi w:val="1"/>
            </w:pPr>
            <w:r>
              <w:rPr>
                <w:sz w:val="16"/>
                <w:rtl w:val="1"/>
              </w:rPr>
              <w:t>غياب خطط النسخ الاحتياطي ال منتظم والتعافي من الكوارث واستعادة الخدمات</w:t>
            </w:r>
          </w:p>
        </w:tc>
        <w:tc>
          <w:tcPr>
            <w:tcW w:type="dxa" w:w="2340"/>
          </w:tcPr>
          <w:p>
            <w:pPr>
              <w:jc w:val="right"/>
              <w:bidi w:val="1"/>
            </w:pPr>
            <w:r>
              <w:rPr>
                <w:sz w:val="16"/>
                <w:rtl w:val="1"/>
              </w:rPr>
              <w:t>توقف الخدمات الحكومية الحيوية عند وقوع حوادث برمجيات الفدية أو الكوارث التقنية</w:t>
            </w:r>
          </w:p>
        </w:tc>
        <w:tc>
          <w:tcPr>
            <w:tcW w:type="dxa" w:w="2340"/>
          </w:tcPr>
          <w:p>
            <w:pPr>
              <w:jc w:val="right"/>
              <w:bidi w:val="1"/>
            </w:pPr>
            <w:r>
              <w:rPr>
                <w:sz w:val="16"/>
                <w:rtl w:val="1"/>
              </w:rPr>
              <w:t>عالية</w:t>
            </w:r>
          </w:p>
        </w:tc>
        <w:tc>
          <w:tcPr>
            <w:tcW w:type="dxa" w:w="2340"/>
          </w:tcPr>
          <w:p>
            <w:pPr>
              <w:jc w:val="right"/>
              <w:bidi w:val="1"/>
            </w:pPr>
            <w:r>
              <w:rPr>
                <w:sz w:val="16"/>
                <w:rtl w:val="1"/>
              </w:rPr>
              <w:t>تفعيل الضوابط المطلوبة وربطها بمؤشرات أداء قابلة للمراجعة</w:t>
            </w:r>
          </w:p>
        </w:tc>
      </w:tr>
    </w:tbl>
    <w:p/>
    <w:p>
      <w:r>
        <w:br w:type="page"/>
      </w:r>
    </w:p>
    <w:p>
      <w:pPr>
        <w:spacing w:before="160" w:after="40"/>
        <w:jc w:val="right"/>
        <w:bidi w:val="1"/>
      </w:pPr>
      <w:r>
        <w:rPr>
          <w:b/>
          <w:color w:val="1D2B4F"/>
          <w:sz w:val="28"/>
          <w:rtl w:val="1"/>
        </w:rPr>
        <w:t>تحليل الفجوات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الفجوة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الأولوية</w:t>
            </w:r>
          </w:p>
        </w:tc>
        <w:tc>
          <w:tcPr>
            <w:tcW w:type="dxa" w:w="1872"/>
            <w:shd w:val="clear" w:color="auto" w:fill="1D2B4F"/>
          </w:tcPr>
          <w:p>
            <w:pPr>
              <w:jc w:val="right"/>
              <w:bidi w:val="1"/>
            </w:pPr>
            <w:r>
              <w:rPr>
                <w:b/>
                <w:color w:val="FFFFFF"/>
                <w:sz w:val="18"/>
                <w:rtl w:val="1"/>
              </w:rPr>
              <w:t>الحالة</w:t>
            </w:r>
          </w:p>
        </w:tc>
      </w:tr>
      <w:tr>
        <w:tc>
          <w:tcPr>
            <w:tcW w:type="dxa" w:w="1872"/>
          </w:tcPr>
          <w:p>
            <w:pPr>
              <w:jc w:val="right"/>
              <w:bidi w:val="1"/>
            </w:pPr>
            <w:r>
              <w:rPr>
                <w:sz w:val="16"/>
                <w:rtl w:val="1"/>
              </w:rPr>
              <w:t>1</w:t>
            </w:r>
          </w:p>
        </w:tc>
        <w:tc>
          <w:tcPr>
            <w:tcW w:type="dxa" w:w="1872"/>
          </w:tcPr>
          <w:p>
            <w:pPr>
              <w:jc w:val="right"/>
              <w:bidi w:val="1"/>
            </w:pPr>
            <w:r>
              <w:rPr>
                <w:sz w:val="16"/>
                <w:rtl w:val="1"/>
              </w:rPr>
              <w:t>غياب إدارة الأمن السيبراني وتعيين CISO ونموذج تشغيل الأمن السيبراني</w:t>
            </w:r>
          </w:p>
        </w:tc>
        <w:tc>
          <w:tcPr>
            <w:tcW w:type="dxa" w:w="1872"/>
          </w:tcPr>
          <w:p>
            <w:pPr>
              <w:jc w:val="right"/>
              <w:bidi w:val="1"/>
            </w:pPr>
            <w:r>
              <w:rPr>
                <w:sz w:val="16"/>
                <w:rtl w:val="1"/>
              </w:rPr>
              <w:t>لا يوجد هيكل تنظيمي مخصص للأمن السيبراني، وغياب تام ل منصب رئيس الأمن السيبراني (CISO)، وعدم وجود لجنة حوكمة الأمن السيبراني، ومصفوفة RACI، وخطوط الرفع والصلاحيات المحددة؛ مما يُفضي إلى فراغ في الحوكمة وغياب نموذج تشغيل الأمن السيبراني على مستوى المنظمة.</w:t>
            </w:r>
          </w:p>
        </w:tc>
        <w:tc>
          <w:tcPr>
            <w:tcW w:type="dxa" w:w="1872"/>
          </w:tcPr>
          <w:p>
            <w:pPr>
              <w:jc w:val="right"/>
              <w:bidi w:val="1"/>
            </w:pPr>
            <w:r>
              <w:rPr>
                <w:sz w:val="16"/>
                <w:rtl w:val="1"/>
              </w:rPr>
              <w:t>حرجة</w:t>
            </w:r>
          </w:p>
        </w:tc>
        <w:tc>
          <w:tcPr>
            <w:tcW w:type="dxa" w:w="1872"/>
          </w:tcPr>
          <w:p>
            <w:pPr>
              <w:jc w:val="right"/>
              <w:bidi w:val="1"/>
            </w:pPr>
            <w:r>
              <w:rPr>
                <w:sz w:val="16"/>
                <w:rtl w:val="1"/>
              </w:rPr>
              <w:t>مفقودة</w:t>
            </w:r>
          </w:p>
        </w:tc>
      </w:tr>
      <w:tr>
        <w:tc>
          <w:tcPr>
            <w:tcW w:type="dxa" w:w="1872"/>
          </w:tcPr>
          <w:p>
            <w:pPr>
              <w:jc w:val="right"/>
              <w:bidi w:val="1"/>
            </w:pPr>
            <w:r>
              <w:rPr>
                <w:sz w:val="16"/>
                <w:rtl w:val="1"/>
              </w:rPr>
              <w:t>2</w:t>
            </w:r>
          </w:p>
        </w:tc>
        <w:tc>
          <w:tcPr>
            <w:tcW w:type="dxa" w:w="1872"/>
          </w:tcPr>
          <w:p>
            <w:pPr>
              <w:jc w:val="right"/>
              <w:bidi w:val="1"/>
            </w:pPr>
            <w:r>
              <w:rPr>
                <w:sz w:val="16"/>
                <w:rtl w:val="1"/>
              </w:rPr>
              <w:t>غياب مركز العمليات الأمنية (SOC) ومنظومة SIEM</w:t>
            </w:r>
          </w:p>
        </w:tc>
        <w:tc>
          <w:tcPr>
            <w:tcW w:type="dxa" w:w="1872"/>
          </w:tcPr>
          <w:p>
            <w:pPr>
              <w:jc w:val="right"/>
              <w:bidi w:val="1"/>
            </w:pPr>
            <w:r>
              <w:rPr>
                <w:sz w:val="16"/>
                <w:rtl w:val="1"/>
              </w:rPr>
              <w:t>لا تمتلك المنظمة مركز عمليات أمنية (SOC) وظيفياً، ولا منصة SIEM للمراقبة المستمرة وتحليل الأحداث الأمنية، مما يجعل البيئة عاجزة عن الكشف المبكر عن التهديدات وفق متطلبات NCA ECC لعائلة المراقبة.</w:t>
            </w:r>
          </w:p>
        </w:tc>
        <w:tc>
          <w:tcPr>
            <w:tcW w:type="dxa" w:w="1872"/>
          </w:tcPr>
          <w:p>
            <w:pPr>
              <w:jc w:val="right"/>
              <w:bidi w:val="1"/>
            </w:pPr>
            <w:r>
              <w:rPr>
                <w:sz w:val="16"/>
                <w:rtl w:val="1"/>
              </w:rPr>
              <w:t>عالية</w:t>
            </w:r>
          </w:p>
        </w:tc>
        <w:tc>
          <w:tcPr>
            <w:tcW w:type="dxa" w:w="1872"/>
          </w:tcPr>
          <w:p>
            <w:pPr>
              <w:jc w:val="right"/>
              <w:bidi w:val="1"/>
            </w:pPr>
            <w:r>
              <w:rPr>
                <w:sz w:val="16"/>
                <w:rtl w:val="1"/>
              </w:rPr>
              <w:t>مفقودة</w:t>
            </w:r>
          </w:p>
        </w:tc>
      </w:tr>
      <w:tr>
        <w:tc>
          <w:tcPr>
            <w:tcW w:type="dxa" w:w="1872"/>
          </w:tcPr>
          <w:p>
            <w:pPr>
              <w:jc w:val="right"/>
              <w:bidi w:val="1"/>
            </w:pPr>
            <w:r>
              <w:rPr>
                <w:sz w:val="16"/>
                <w:rtl w:val="1"/>
              </w:rPr>
              <w:t>3</w:t>
            </w:r>
          </w:p>
        </w:tc>
        <w:tc>
          <w:tcPr>
            <w:tcW w:type="dxa" w:w="1872"/>
          </w:tcPr>
          <w:p>
            <w:pPr>
              <w:jc w:val="right"/>
              <w:bidi w:val="1"/>
            </w:pPr>
            <w:r>
              <w:rPr>
                <w:sz w:val="16"/>
                <w:rtl w:val="1"/>
              </w:rPr>
              <w:t>ضعف إدارة الهوية والوصول (IAM/PAM/MFA)</w:t>
            </w:r>
          </w:p>
        </w:tc>
        <w:tc>
          <w:tcPr>
            <w:tcW w:type="dxa" w:w="1872"/>
          </w:tcPr>
          <w:p>
            <w:pPr>
              <w:jc w:val="right"/>
              <w:bidi w:val="1"/>
            </w:pPr>
            <w:r>
              <w:rPr>
                <w:sz w:val="16"/>
                <w:rtl w:val="1"/>
              </w:rPr>
              <w:t>غياب نظام موحد لإدارة الهوية والوصول (IAM)، وعدم تطبيق إدارة الوصول المميز (PAM)، وانعدام المصادقة متعددة العوامل (MFA) للأنظمة الحساسة، في تعارض مباشر مع متطلبات NCA ECC لعائلة إدارة الهوية والوصول.</w:t>
            </w:r>
          </w:p>
        </w:tc>
        <w:tc>
          <w:tcPr>
            <w:tcW w:type="dxa" w:w="1872"/>
          </w:tcPr>
          <w:p>
            <w:pPr>
              <w:jc w:val="right"/>
              <w:bidi w:val="1"/>
            </w:pPr>
            <w:r>
              <w:rPr>
                <w:sz w:val="16"/>
                <w:rtl w:val="1"/>
              </w:rPr>
              <w:t>عالية</w:t>
            </w:r>
          </w:p>
        </w:tc>
        <w:tc>
          <w:tcPr>
            <w:tcW w:type="dxa" w:w="1872"/>
          </w:tcPr>
          <w:p>
            <w:pPr>
              <w:jc w:val="right"/>
              <w:bidi w:val="1"/>
            </w:pPr>
            <w:r>
              <w:rPr>
                <w:sz w:val="16"/>
                <w:rtl w:val="1"/>
              </w:rPr>
              <w:t>جزئية</w:t>
            </w:r>
          </w:p>
        </w:tc>
      </w:tr>
      <w:tr>
        <w:tc>
          <w:tcPr>
            <w:tcW w:type="dxa" w:w="1872"/>
          </w:tcPr>
          <w:p>
            <w:pPr>
              <w:jc w:val="right"/>
              <w:bidi w:val="1"/>
            </w:pPr>
            <w:r>
              <w:rPr>
                <w:sz w:val="16"/>
                <w:rtl w:val="1"/>
              </w:rPr>
              <w:t>4</w:t>
            </w:r>
          </w:p>
        </w:tc>
        <w:tc>
          <w:tcPr>
            <w:tcW w:type="dxa" w:w="1872"/>
          </w:tcPr>
          <w:p>
            <w:pPr>
              <w:jc w:val="right"/>
              <w:bidi w:val="1"/>
            </w:pPr>
            <w:r>
              <w:rPr>
                <w:sz w:val="16"/>
                <w:rtl w:val="1"/>
              </w:rPr>
              <w:t>غياب فريق الاستجابة للحوادث (CSIRT) وإجراءاتها الرسمية</w:t>
            </w:r>
          </w:p>
        </w:tc>
        <w:tc>
          <w:tcPr>
            <w:tcW w:type="dxa" w:w="1872"/>
          </w:tcPr>
          <w:p>
            <w:pPr>
              <w:jc w:val="right"/>
              <w:bidi w:val="1"/>
            </w:pPr>
            <w:r>
              <w:rPr>
                <w:sz w:val="16"/>
                <w:rtl w:val="1"/>
              </w:rPr>
              <w:t>لا يوجد فريق متخصص للاستجابة للحوادث الأمنية (CSIRT)، وغياب خطط الاستجابة للحوادث الموثقة وإجراءات التعامل مع اختراق البيانات، مما يُشكّل فجوة جوهرية في عائلة الاستجابة للحوادث وفق NCA ECC.</w:t>
            </w:r>
          </w:p>
        </w:tc>
        <w:tc>
          <w:tcPr>
            <w:tcW w:type="dxa" w:w="1872"/>
          </w:tcPr>
          <w:p>
            <w:pPr>
              <w:jc w:val="right"/>
              <w:bidi w:val="1"/>
            </w:pPr>
            <w:r>
              <w:rPr>
                <w:sz w:val="16"/>
                <w:rtl w:val="1"/>
              </w:rPr>
              <w:t>عالية</w:t>
            </w:r>
          </w:p>
        </w:tc>
        <w:tc>
          <w:tcPr>
            <w:tcW w:type="dxa" w:w="1872"/>
          </w:tcPr>
          <w:p>
            <w:pPr>
              <w:jc w:val="right"/>
              <w:bidi w:val="1"/>
            </w:pPr>
            <w:r>
              <w:rPr>
                <w:sz w:val="16"/>
                <w:rtl w:val="1"/>
              </w:rPr>
              <w:t>مفقودة</w:t>
            </w:r>
          </w:p>
        </w:tc>
      </w:tr>
      <w:tr>
        <w:tc>
          <w:tcPr>
            <w:tcW w:type="dxa" w:w="1872"/>
          </w:tcPr>
          <w:p>
            <w:pPr>
              <w:jc w:val="right"/>
              <w:bidi w:val="1"/>
            </w:pPr>
            <w:r>
              <w:rPr>
                <w:sz w:val="16"/>
                <w:rtl w:val="1"/>
              </w:rPr>
              <w:t>5</w:t>
            </w:r>
          </w:p>
        </w:tc>
        <w:tc>
          <w:tcPr>
            <w:tcW w:type="dxa" w:w="1872"/>
          </w:tcPr>
          <w:p>
            <w:pPr>
              <w:jc w:val="right"/>
              <w:bidi w:val="1"/>
            </w:pPr>
            <w:r>
              <w:rPr>
                <w:sz w:val="16"/>
                <w:rtl w:val="1"/>
              </w:rPr>
              <w:t>قصور إدارة الثغرات الأمنية ومنع فقدان البيانات (DLP) وضوابط الوصول عن بُعد</w:t>
            </w:r>
          </w:p>
        </w:tc>
        <w:tc>
          <w:tcPr>
            <w:tcW w:type="dxa" w:w="1872"/>
          </w:tcPr>
          <w:p>
            <w:pPr>
              <w:jc w:val="right"/>
              <w:bidi w:val="1"/>
            </w:pPr>
            <w:r>
              <w:rPr>
                <w:sz w:val="16"/>
                <w:rtl w:val="1"/>
              </w:rPr>
              <w:t>غياب برنامج دوري لفحص الثغرات الأمنية ومعالجتها، وعدم نشر أدوات منع فقدان البيانات (DLP)، وانعدام ضوابط الوصول عن بُعد الآمن؛ يُعرّض الأصول الحيوية لمخاطر برمجيات الفدية والثغرات الصفرية.</w:t>
            </w:r>
          </w:p>
        </w:tc>
        <w:tc>
          <w:tcPr>
            <w:tcW w:type="dxa" w:w="1872"/>
          </w:tcPr>
          <w:p>
            <w:pPr>
              <w:jc w:val="right"/>
              <w:bidi w:val="1"/>
            </w:pPr>
            <w:r>
              <w:rPr>
                <w:sz w:val="16"/>
                <w:rtl w:val="1"/>
              </w:rPr>
              <w:t>عالية</w:t>
            </w:r>
          </w:p>
        </w:tc>
        <w:tc>
          <w:tcPr>
            <w:tcW w:type="dxa" w:w="1872"/>
          </w:tcPr>
          <w:p>
            <w:pPr>
              <w:jc w:val="right"/>
              <w:bidi w:val="1"/>
            </w:pPr>
            <w:r>
              <w:rPr>
                <w:sz w:val="16"/>
                <w:rtl w:val="1"/>
              </w:rPr>
              <w:t>مفقودة</w:t>
            </w:r>
          </w:p>
        </w:tc>
      </w:tr>
      <w:tr>
        <w:tc>
          <w:tcPr>
            <w:tcW w:type="dxa" w:w="1872"/>
          </w:tcPr>
          <w:p>
            <w:pPr>
              <w:jc w:val="right"/>
              <w:bidi w:val="1"/>
            </w:pPr>
            <w:r>
              <w:rPr>
                <w:sz w:val="16"/>
                <w:rtl w:val="1"/>
              </w:rPr>
              <w:t>6</w:t>
            </w:r>
          </w:p>
        </w:tc>
        <w:tc>
          <w:tcPr>
            <w:tcW w:type="dxa" w:w="1872"/>
          </w:tcPr>
          <w:p>
            <w:pPr>
              <w:jc w:val="right"/>
              <w:bidi w:val="1"/>
            </w:pPr>
            <w:r>
              <w:rPr>
                <w:sz w:val="16"/>
                <w:rtl w:val="1"/>
              </w:rPr>
              <w:t>غياب ضوابط تصنيف البيانات ومعالجة البيانات الحساسة وتشفيرها</w:t>
            </w:r>
          </w:p>
        </w:tc>
        <w:tc>
          <w:tcPr>
            <w:tcW w:type="dxa" w:w="1872"/>
          </w:tcPr>
          <w:p>
            <w:pPr>
              <w:jc w:val="right"/>
              <w:bidi w:val="1"/>
            </w:pPr>
            <w:r>
              <w:rPr>
                <w:sz w:val="16"/>
                <w:rtl w:val="1"/>
              </w:rPr>
              <w:t>لا يوجد إطار معتمد لتصنيف البيانات وتصنيف الأصول البيانية، وغياب ضوابط التعامل مع البيانات الحساسة وتداول البيانات الحساسة، مع انعدام سياسات تشفير البيانات أثناء النقل والتخزين وفق متطلبات NCA DCC لعائلات التصنيف والتشفير وحماية البيانات.</w:t>
            </w:r>
          </w:p>
        </w:tc>
        <w:tc>
          <w:tcPr>
            <w:tcW w:type="dxa" w:w="1872"/>
          </w:tcPr>
          <w:p>
            <w:pPr>
              <w:jc w:val="right"/>
              <w:bidi w:val="1"/>
            </w:pPr>
            <w:r>
              <w:rPr>
                <w:sz w:val="16"/>
                <w:rtl w:val="1"/>
              </w:rPr>
              <w:t>عالية</w:t>
            </w:r>
          </w:p>
        </w:tc>
        <w:tc>
          <w:tcPr>
            <w:tcW w:type="dxa" w:w="1872"/>
          </w:tcPr>
          <w:p>
            <w:pPr>
              <w:jc w:val="right"/>
              <w:bidi w:val="1"/>
            </w:pPr>
            <w:r>
              <w:rPr>
                <w:sz w:val="16"/>
                <w:rtl w:val="1"/>
              </w:rPr>
              <w:t>مفقودة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إصدار قرار تنظيمي رسمي بتأسيس الإدارة المتخصصة للأمن السيبراني وتحديد موقعها في الهيكل التنظيمي لل منظمة مع تحديد خطوط الرفع والصلاحيات للأمن السيبراني</w:t>
            </w:r>
          </w:p>
        </w:tc>
        <w:tc>
          <w:tcPr>
            <w:tcW w:type="dxa" w:w="1872"/>
          </w:tcPr>
          <w:p>
            <w:pPr>
              <w:jc w:val="right"/>
              <w:bidi w:val="1"/>
            </w:pPr>
            <w:r>
              <w:rPr>
                <w:sz w:val="16"/>
                <w:rtl w:val="1"/>
              </w:rPr>
              <w:t>الإدارة العليا</w:t>
            </w:r>
          </w:p>
        </w:tc>
        <w:tc>
          <w:tcPr>
            <w:tcW w:type="dxa" w:w="1872"/>
          </w:tcPr>
          <w:p>
            <w:pPr>
              <w:jc w:val="right"/>
              <w:bidi w:val="1"/>
            </w:pPr>
            <w:r>
              <w:rPr>
                <w:sz w:val="16"/>
                <w:rtl w:val="1"/>
              </w:rPr>
              <w:t>الشهر 1</w:t>
            </w:r>
          </w:p>
        </w:tc>
        <w:tc>
          <w:tcPr>
            <w:tcW w:type="dxa" w:w="1872"/>
          </w:tcPr>
          <w:p>
            <w:pPr>
              <w:jc w:val="right"/>
              <w:bidi w:val="1"/>
            </w:pPr>
            <w:r>
              <w:rPr>
                <w:sz w:val="16"/>
                <w:rtl w:val="1"/>
              </w:rPr>
              <w:t>قرار تنظيمي رسمي وهيكل تنظيمي معتمد لإدارة الأمن السيبراني</w:t>
            </w:r>
          </w:p>
        </w:tc>
      </w:tr>
      <w:tr>
        <w:tc>
          <w:tcPr>
            <w:tcW w:type="dxa" w:w="1872"/>
          </w:tcPr>
          <w:p>
            <w:pPr>
              <w:jc w:val="right"/>
              <w:bidi w:val="1"/>
            </w:pPr>
            <w:r>
              <w:rPr>
                <w:sz w:val="16"/>
                <w:rtl w:val="1"/>
              </w:rPr>
              <w:t>2</w:t>
            </w:r>
          </w:p>
        </w:tc>
        <w:tc>
          <w:tcPr>
            <w:tcW w:type="dxa" w:w="1872"/>
          </w:tcPr>
          <w:p>
            <w:pPr>
              <w:jc w:val="right"/>
              <w:bidi w:val="1"/>
            </w:pPr>
            <w:r>
              <w:rPr>
                <w:sz w:val="16"/>
                <w:rtl w:val="1"/>
              </w:rPr>
              <w:t>تعيين رئيس الأمن السيبراني (CISO) وتحديد نطاق صلاحياته وإعداد الوصف الوظيفي المتوافق مع متطلبات حوكمة الأمن السيبراني وفق NCA ECC</w:t>
            </w:r>
          </w:p>
        </w:tc>
        <w:tc>
          <w:tcPr>
            <w:tcW w:type="dxa" w:w="1872"/>
          </w:tcPr>
          <w:p>
            <w:pPr>
              <w:jc w:val="right"/>
              <w:bidi w:val="1"/>
            </w:pPr>
            <w:r>
              <w:rPr>
                <w:sz w:val="16"/>
                <w:rtl w:val="1"/>
              </w:rPr>
              <w:t>الإدارة العليا / الموارد البشرية</w:t>
            </w:r>
          </w:p>
        </w:tc>
        <w:tc>
          <w:tcPr>
            <w:tcW w:type="dxa" w:w="1872"/>
          </w:tcPr>
          <w:p>
            <w:pPr>
              <w:jc w:val="right"/>
              <w:bidi w:val="1"/>
            </w:pPr>
            <w:r>
              <w:rPr>
                <w:sz w:val="16"/>
                <w:rtl w:val="1"/>
              </w:rPr>
              <w:t>الشهر 1–2</w:t>
            </w:r>
          </w:p>
        </w:tc>
        <w:tc>
          <w:tcPr>
            <w:tcW w:type="dxa" w:w="1872"/>
          </w:tcPr>
          <w:p>
            <w:pPr>
              <w:jc w:val="right"/>
              <w:bidi w:val="1"/>
            </w:pPr>
            <w:r>
              <w:rPr>
                <w:sz w:val="16"/>
                <w:rtl w:val="1"/>
              </w:rPr>
              <w:t>منصب CISO مُشغَل رسمياً مع توصيف وظيفي موثق</w:t>
            </w:r>
          </w:p>
        </w:tc>
      </w:tr>
      <w:tr>
        <w:tc>
          <w:tcPr>
            <w:tcW w:type="dxa" w:w="1872"/>
          </w:tcPr>
          <w:p>
            <w:pPr>
              <w:jc w:val="right"/>
              <w:bidi w:val="1"/>
            </w:pPr>
            <w:r>
              <w:rPr>
                <w:sz w:val="16"/>
                <w:rtl w:val="1"/>
              </w:rPr>
              <w:t>3</w:t>
            </w:r>
          </w:p>
        </w:tc>
        <w:tc>
          <w:tcPr>
            <w:tcW w:type="dxa" w:w="1872"/>
          </w:tcPr>
          <w:p>
            <w:pPr>
              <w:jc w:val="right"/>
              <w:bidi w:val="1"/>
            </w:pPr>
            <w:r>
              <w:rPr>
                <w:sz w:val="16"/>
                <w:rtl w:val="1"/>
              </w:rPr>
              <w:t>بناء مصفوفة RACI للأمن السيبراني تحدد الأدوار والمسؤوليات والصلاحيات لجميع وظائف الأمن السيبراني (الحوكمة، العمليات، الاستجابة للحوادث، إدارة الهوية، إدارة الثغرات، الامتثال) وتوزيع المهام بين فريق الحوكمة والعمليات</w:t>
            </w:r>
          </w:p>
        </w:tc>
        <w:tc>
          <w:tcPr>
            <w:tcW w:type="dxa" w:w="1872"/>
          </w:tcPr>
          <w:p>
            <w:pPr>
              <w:jc w:val="right"/>
              <w:bidi w:val="1"/>
            </w:pPr>
            <w:r>
              <w:rPr>
                <w:sz w:val="16"/>
                <w:rtl w:val="1"/>
              </w:rPr>
              <w:t>CISO</w:t>
            </w:r>
          </w:p>
        </w:tc>
        <w:tc>
          <w:tcPr>
            <w:tcW w:type="dxa" w:w="1872"/>
          </w:tcPr>
          <w:p>
            <w:pPr>
              <w:jc w:val="right"/>
              <w:bidi w:val="1"/>
            </w:pPr>
            <w:r>
              <w:rPr>
                <w:sz w:val="16"/>
                <w:rtl w:val="1"/>
              </w:rPr>
              <w:t>الشهر 2–3</w:t>
            </w:r>
          </w:p>
        </w:tc>
        <w:tc>
          <w:tcPr>
            <w:tcW w:type="dxa" w:w="1872"/>
          </w:tcPr>
          <w:p>
            <w:pPr>
              <w:jc w:val="right"/>
              <w:bidi w:val="1"/>
            </w:pPr>
            <w:r>
              <w:rPr>
                <w:sz w:val="16"/>
                <w:rtl w:val="1"/>
              </w:rPr>
              <w:t>مصفوفة RACI للأمن السيبراني معتمدة وموزعة على جميع أصحاب المصلحة</w:t>
            </w:r>
          </w:p>
        </w:tc>
      </w:tr>
      <w:tr>
        <w:tc>
          <w:tcPr>
            <w:tcW w:type="dxa" w:w="1872"/>
          </w:tcPr>
          <w:p>
            <w:pPr>
              <w:jc w:val="right"/>
              <w:bidi w:val="1"/>
            </w:pPr>
            <w:r>
              <w:rPr>
                <w:sz w:val="16"/>
                <w:rtl w:val="1"/>
              </w:rPr>
              <w:t>4</w:t>
            </w:r>
          </w:p>
        </w:tc>
        <w:tc>
          <w:tcPr>
            <w:tcW w:type="dxa" w:w="1872"/>
          </w:tcPr>
          <w:p>
            <w:pPr>
              <w:jc w:val="right"/>
              <w:bidi w:val="1"/>
            </w:pPr>
            <w:r>
              <w:rPr>
                <w:sz w:val="16"/>
                <w:rtl w:val="1"/>
              </w:rPr>
              <w:t>تشكيل لجنة حوكمة الأمن السيبراني مع فصل مهام الحوكمة عن العمليات والاستجابة للحوادث وإدارة الهوية وإدارة الثغرات والامتثال، وتوثيق نموذج تشغيل الأمن السيبراني الكامل</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3–4</w:t>
            </w:r>
          </w:p>
        </w:tc>
        <w:tc>
          <w:tcPr>
            <w:tcW w:type="dxa" w:w="1872"/>
          </w:tcPr>
          <w:p>
            <w:pPr>
              <w:jc w:val="right"/>
              <w:bidi w:val="1"/>
            </w:pPr>
            <w:r>
              <w:rPr>
                <w:sz w:val="16"/>
                <w:rtl w:val="1"/>
              </w:rPr>
              <w:t>نموذج تشغيل الأمن السيبراني موثق ولجنة الحوكمة مُشكَّلة باجتماع أول رسمي</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نموذج تشغيل SOC (داخلي / مُدار / هجين) وإعداد دراسة الجدوى التشغيلية والتقنية متضمنةً متطلبات المراقبة المستمرة وفق NCA ECC</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1–2</w:t>
            </w:r>
          </w:p>
        </w:tc>
        <w:tc>
          <w:tcPr>
            <w:tcW w:type="dxa" w:w="1872"/>
          </w:tcPr>
          <w:p>
            <w:pPr>
              <w:jc w:val="right"/>
              <w:bidi w:val="1"/>
            </w:pPr>
            <w:r>
              <w:rPr>
                <w:sz w:val="16"/>
                <w:rtl w:val="1"/>
              </w:rPr>
              <w:t>دراسة جدوى SOC معتمدة مع توصية النموذج التشغيلي</w:t>
            </w:r>
          </w:p>
        </w:tc>
      </w:tr>
      <w:tr>
        <w:tc>
          <w:tcPr>
            <w:tcW w:type="dxa" w:w="1872"/>
          </w:tcPr>
          <w:p>
            <w:pPr>
              <w:jc w:val="right"/>
              <w:bidi w:val="1"/>
            </w:pPr>
            <w:r>
              <w:rPr>
                <w:sz w:val="16"/>
                <w:rtl w:val="1"/>
              </w:rPr>
              <w:t>2</w:t>
            </w:r>
          </w:p>
        </w:tc>
        <w:tc>
          <w:tcPr>
            <w:tcW w:type="dxa" w:w="1872"/>
          </w:tcPr>
          <w:p>
            <w:pPr>
              <w:jc w:val="right"/>
              <w:bidi w:val="1"/>
            </w:pPr>
            <w:r>
              <w:rPr>
                <w:sz w:val="16"/>
                <w:rtl w:val="1"/>
              </w:rPr>
              <w:t>اختيار منصة SIEM وتركيبها وتوصيل مصادر السجلات الرئيسية (جدران الحماية، نقاط النهاية، الخوادم، الأنظمة الحيوية) لتحقيق تغطية المراقبة الشاملة</w:t>
            </w:r>
          </w:p>
        </w:tc>
        <w:tc>
          <w:tcPr>
            <w:tcW w:type="dxa" w:w="1872"/>
          </w:tcPr>
          <w:p>
            <w:pPr>
              <w:jc w:val="right"/>
              <w:bidi w:val="1"/>
            </w:pPr>
            <w:r>
              <w:rPr>
                <w:sz w:val="16"/>
                <w:rtl w:val="1"/>
              </w:rPr>
              <w:t>SOC Manager</w:t>
            </w:r>
          </w:p>
        </w:tc>
        <w:tc>
          <w:tcPr>
            <w:tcW w:type="dxa" w:w="1872"/>
          </w:tcPr>
          <w:p>
            <w:pPr>
              <w:jc w:val="right"/>
              <w:bidi w:val="1"/>
            </w:pPr>
            <w:r>
              <w:rPr>
                <w:sz w:val="16"/>
                <w:rtl w:val="1"/>
              </w:rPr>
              <w:t>الشهر 3–5</w:t>
            </w:r>
          </w:p>
        </w:tc>
        <w:tc>
          <w:tcPr>
            <w:tcW w:type="dxa" w:w="1872"/>
          </w:tcPr>
          <w:p>
            <w:pPr>
              <w:jc w:val="right"/>
              <w:bidi w:val="1"/>
            </w:pPr>
            <w:r>
              <w:rPr>
                <w:sz w:val="16"/>
                <w:rtl w:val="1"/>
              </w:rPr>
              <w:t>منصة SIEM مُشغَّلة مع لوحة تحكم مراقبة حية</w:t>
            </w:r>
          </w:p>
        </w:tc>
      </w:tr>
      <w:tr>
        <w:tc>
          <w:tcPr>
            <w:tcW w:type="dxa" w:w="1872"/>
          </w:tcPr>
          <w:p>
            <w:pPr>
              <w:jc w:val="right"/>
              <w:bidi w:val="1"/>
            </w:pPr>
            <w:r>
              <w:rPr>
                <w:sz w:val="16"/>
                <w:rtl w:val="1"/>
              </w:rPr>
              <w:t>3</w:t>
            </w:r>
          </w:p>
        </w:tc>
        <w:tc>
          <w:tcPr>
            <w:tcW w:type="dxa" w:w="1872"/>
          </w:tcPr>
          <w:p>
            <w:pPr>
              <w:jc w:val="right"/>
              <w:bidi w:val="1"/>
            </w:pPr>
            <w:r>
              <w:rPr>
                <w:sz w:val="16"/>
                <w:rtl w:val="1"/>
              </w:rPr>
              <w:t>بناء مكتبة قواعد الكشف (Detection Rules) وسيناريوهات التنبيه الأمني المصنّفة وفق مستويات الخطورة مع تحديد إجراءات الاستجابة الأولية لكل سيناريو</w:t>
            </w:r>
          </w:p>
        </w:tc>
        <w:tc>
          <w:tcPr>
            <w:tcW w:type="dxa" w:w="1872"/>
          </w:tcPr>
          <w:p>
            <w:pPr>
              <w:jc w:val="right"/>
              <w:bidi w:val="1"/>
            </w:pPr>
            <w:r>
              <w:rPr>
                <w:sz w:val="16"/>
                <w:rtl w:val="1"/>
              </w:rPr>
              <w:t>SOC Manager</w:t>
            </w:r>
          </w:p>
        </w:tc>
        <w:tc>
          <w:tcPr>
            <w:tcW w:type="dxa" w:w="1872"/>
          </w:tcPr>
          <w:p>
            <w:pPr>
              <w:jc w:val="right"/>
              <w:bidi w:val="1"/>
            </w:pPr>
            <w:r>
              <w:rPr>
                <w:sz w:val="16"/>
                <w:rtl w:val="1"/>
              </w:rPr>
              <w:t>الشهر 5–6</w:t>
            </w:r>
          </w:p>
        </w:tc>
        <w:tc>
          <w:tcPr>
            <w:tcW w:type="dxa" w:w="1872"/>
          </w:tcPr>
          <w:p>
            <w:pPr>
              <w:jc w:val="right"/>
              <w:bidi w:val="1"/>
            </w:pPr>
            <w:r>
              <w:rPr>
                <w:sz w:val="16"/>
                <w:rtl w:val="1"/>
              </w:rPr>
              <w:t>مكتبة قواعد كشف موثقة ومعتمدة لا تقل عن 50 قاعدة</w:t>
            </w:r>
          </w:p>
        </w:tc>
      </w:tr>
      <w:tr>
        <w:tc>
          <w:tcPr>
            <w:tcW w:type="dxa" w:w="1872"/>
          </w:tcPr>
          <w:p>
            <w:pPr>
              <w:jc w:val="right"/>
              <w:bidi w:val="1"/>
            </w:pPr>
            <w:r>
              <w:rPr>
                <w:sz w:val="16"/>
                <w:rtl w:val="1"/>
              </w:rPr>
              <w:t>4</w:t>
            </w:r>
          </w:p>
        </w:tc>
        <w:tc>
          <w:tcPr>
            <w:tcW w:type="dxa" w:w="1872"/>
          </w:tcPr>
          <w:p>
            <w:pPr>
              <w:jc w:val="right"/>
              <w:bidi w:val="1"/>
            </w:pPr>
            <w:r>
              <w:rPr>
                <w:sz w:val="16"/>
                <w:rtl w:val="1"/>
              </w:rPr>
              <w:t>تشغيل SOC رسمياً بكادر مدرب مع تحديد مؤشرات قياس الأداء (MTTD / MTTR) وإعداد تقارير تشغيلية شهرية ترفع إلى CISO</w:t>
            </w:r>
          </w:p>
        </w:tc>
        <w:tc>
          <w:tcPr>
            <w:tcW w:type="dxa" w:w="1872"/>
          </w:tcPr>
          <w:p>
            <w:pPr>
              <w:jc w:val="right"/>
              <w:bidi w:val="1"/>
            </w:pPr>
            <w:r>
              <w:rPr>
                <w:sz w:val="16"/>
                <w:rtl w:val="1"/>
              </w:rPr>
              <w:t>SOC Manager</w:t>
            </w:r>
          </w:p>
        </w:tc>
        <w:tc>
          <w:tcPr>
            <w:tcW w:type="dxa" w:w="1872"/>
          </w:tcPr>
          <w:p>
            <w:pPr>
              <w:jc w:val="right"/>
              <w:bidi w:val="1"/>
            </w:pPr>
            <w:r>
              <w:rPr>
                <w:sz w:val="16"/>
                <w:rtl w:val="1"/>
              </w:rPr>
              <w:t>الشهر 6–7</w:t>
            </w:r>
          </w:p>
        </w:tc>
        <w:tc>
          <w:tcPr>
            <w:tcW w:type="dxa" w:w="1872"/>
          </w:tcPr>
          <w:p>
            <w:pPr>
              <w:jc w:val="right"/>
              <w:bidi w:val="1"/>
            </w:pPr>
            <w:r>
              <w:rPr>
                <w:sz w:val="16"/>
                <w:rtl w:val="1"/>
              </w:rPr>
              <w:t>SOC مُشغَّل رسمياً مع تقرير أداء أول وقياس MTTD/MTTR</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جرد شامل لجميع الحسابات والهويات الرقمية (بشرية وآلية) عبر البيئات وتصنيفها وفق مستوى الامتياز، وتحديد الحسابات المميزة ذات الوصول الحساس</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1–2</w:t>
            </w:r>
          </w:p>
        </w:tc>
        <w:tc>
          <w:tcPr>
            <w:tcW w:type="dxa" w:w="1872"/>
          </w:tcPr>
          <w:p>
            <w:pPr>
              <w:jc w:val="right"/>
              <w:bidi w:val="1"/>
            </w:pPr>
            <w:r>
              <w:rPr>
                <w:sz w:val="16"/>
                <w:rtl w:val="1"/>
              </w:rPr>
              <w:t>سجل حسابات موحد مع تصنيف مستويات الامتياز</w:t>
            </w:r>
          </w:p>
        </w:tc>
      </w:tr>
      <w:tr>
        <w:tc>
          <w:tcPr>
            <w:tcW w:type="dxa" w:w="1872"/>
          </w:tcPr>
          <w:p>
            <w:pPr>
              <w:jc w:val="right"/>
              <w:bidi w:val="1"/>
            </w:pPr>
            <w:r>
              <w:rPr>
                <w:sz w:val="16"/>
                <w:rtl w:val="1"/>
              </w:rPr>
              <w:t>2</w:t>
            </w:r>
          </w:p>
        </w:tc>
        <w:tc>
          <w:tcPr>
            <w:tcW w:type="dxa" w:w="1872"/>
          </w:tcPr>
          <w:p>
            <w:pPr>
              <w:jc w:val="right"/>
              <w:bidi w:val="1"/>
            </w:pPr>
            <w:r>
              <w:rPr>
                <w:sz w:val="16"/>
                <w:rtl w:val="1"/>
              </w:rPr>
              <w:t>نشر حل إدارة الهوية والوصول (IAM) المركزي وتطبيق مبدأ الحد الأدنى من الامتياز (Least Privilege) على جميع الأنظمة</w:t>
            </w:r>
          </w:p>
        </w:tc>
        <w:tc>
          <w:tcPr>
            <w:tcW w:type="dxa" w:w="1872"/>
          </w:tcPr>
          <w:p>
            <w:pPr>
              <w:jc w:val="right"/>
              <w:bidi w:val="1"/>
            </w:pPr>
            <w:r>
              <w:rPr>
                <w:sz w:val="16"/>
                <w:rtl w:val="1"/>
              </w:rPr>
              <w:t>CISO</w:t>
            </w:r>
          </w:p>
        </w:tc>
        <w:tc>
          <w:tcPr>
            <w:tcW w:type="dxa" w:w="1872"/>
          </w:tcPr>
          <w:p>
            <w:pPr>
              <w:jc w:val="right"/>
              <w:bidi w:val="1"/>
            </w:pPr>
            <w:r>
              <w:rPr>
                <w:sz w:val="16"/>
                <w:rtl w:val="1"/>
              </w:rPr>
              <w:t>الشهر 2–4</w:t>
            </w:r>
          </w:p>
        </w:tc>
        <w:tc>
          <w:tcPr>
            <w:tcW w:type="dxa" w:w="1872"/>
          </w:tcPr>
          <w:p>
            <w:pPr>
              <w:jc w:val="right"/>
              <w:bidi w:val="1"/>
            </w:pPr>
            <w:r>
              <w:rPr>
                <w:sz w:val="16"/>
                <w:rtl w:val="1"/>
              </w:rPr>
              <w:t>حل IAM مُشغَّل مع سياسة الحد الأدنى من الامتياز مطبّقة</w:t>
            </w:r>
          </w:p>
        </w:tc>
      </w:tr>
      <w:tr>
        <w:tc>
          <w:tcPr>
            <w:tcW w:type="dxa" w:w="1872"/>
          </w:tcPr>
          <w:p>
            <w:pPr>
              <w:jc w:val="right"/>
              <w:bidi w:val="1"/>
            </w:pPr>
            <w:r>
              <w:rPr>
                <w:sz w:val="16"/>
                <w:rtl w:val="1"/>
              </w:rPr>
              <w:t>3</w:t>
            </w:r>
          </w:p>
        </w:tc>
        <w:tc>
          <w:tcPr>
            <w:tcW w:type="dxa" w:w="1872"/>
          </w:tcPr>
          <w:p>
            <w:pPr>
              <w:jc w:val="right"/>
              <w:bidi w:val="1"/>
            </w:pPr>
            <w:r>
              <w:rPr>
                <w:sz w:val="16"/>
                <w:rtl w:val="1"/>
              </w:rPr>
              <w:t>تنفيذ حل إدارة الوصول المميز (PAM) لجميع الحسابات ذات الامتياز العالي مع تسجيل الجلسات ومراجعة الوصول الدورية</w:t>
            </w:r>
          </w:p>
        </w:tc>
        <w:tc>
          <w:tcPr>
            <w:tcW w:type="dxa" w:w="1872"/>
          </w:tcPr>
          <w:p>
            <w:pPr>
              <w:jc w:val="right"/>
              <w:bidi w:val="1"/>
            </w:pPr>
            <w:r>
              <w:rPr>
                <w:sz w:val="16"/>
                <w:rtl w:val="1"/>
              </w:rPr>
              <w:t>SOC Manager</w:t>
            </w:r>
          </w:p>
        </w:tc>
        <w:tc>
          <w:tcPr>
            <w:tcW w:type="dxa" w:w="1872"/>
          </w:tcPr>
          <w:p>
            <w:pPr>
              <w:jc w:val="right"/>
              <w:bidi w:val="1"/>
            </w:pPr>
            <w:r>
              <w:rPr>
                <w:sz w:val="16"/>
                <w:rtl w:val="1"/>
              </w:rPr>
              <w:t>الشهر 3–5</w:t>
            </w:r>
          </w:p>
        </w:tc>
        <w:tc>
          <w:tcPr>
            <w:tcW w:type="dxa" w:w="1872"/>
          </w:tcPr>
          <w:p>
            <w:pPr>
              <w:jc w:val="right"/>
              <w:bidi w:val="1"/>
            </w:pPr>
            <w:r>
              <w:rPr>
                <w:sz w:val="16"/>
                <w:rtl w:val="1"/>
              </w:rPr>
              <w:t>حل PAM مُشغَّل مع تقارير مراجعة وصول شهرية</w:t>
            </w:r>
          </w:p>
        </w:tc>
      </w:tr>
      <w:tr>
        <w:tc>
          <w:tcPr>
            <w:tcW w:type="dxa" w:w="1872"/>
          </w:tcPr>
          <w:p>
            <w:pPr>
              <w:jc w:val="right"/>
              <w:bidi w:val="1"/>
            </w:pPr>
            <w:r>
              <w:rPr>
                <w:sz w:val="16"/>
                <w:rtl w:val="1"/>
              </w:rPr>
              <w:t>4</w:t>
            </w:r>
          </w:p>
        </w:tc>
        <w:tc>
          <w:tcPr>
            <w:tcW w:type="dxa" w:w="1872"/>
          </w:tcPr>
          <w:p>
            <w:pPr>
              <w:jc w:val="right"/>
              <w:bidi w:val="1"/>
            </w:pPr>
            <w:r>
              <w:rPr>
                <w:sz w:val="16"/>
                <w:rtl w:val="1"/>
              </w:rPr>
              <w:t>إلزام المصادقة متعددة العوامل (MFA) على جميع أنظمة الوصول الحساس والبريد الإلكتروني والوصول عن بُعد وفق متطلبات NCA ECC لعائلة إدارة الهوية والوصول</w:t>
            </w:r>
          </w:p>
        </w:tc>
        <w:tc>
          <w:tcPr>
            <w:tcW w:type="dxa" w:w="1872"/>
          </w:tcPr>
          <w:p>
            <w:pPr>
              <w:jc w:val="right"/>
              <w:bidi w:val="1"/>
            </w:pPr>
            <w:r>
              <w:rPr>
                <w:sz w:val="16"/>
                <w:rtl w:val="1"/>
              </w:rPr>
              <w:t>CISO</w:t>
            </w:r>
          </w:p>
        </w:tc>
        <w:tc>
          <w:tcPr>
            <w:tcW w:type="dxa" w:w="1872"/>
          </w:tcPr>
          <w:p>
            <w:pPr>
              <w:jc w:val="right"/>
              <w:bidi w:val="1"/>
            </w:pPr>
            <w:r>
              <w:rPr>
                <w:sz w:val="16"/>
                <w:rtl w:val="1"/>
              </w:rPr>
              <w:t>الشهر 4–5</w:t>
            </w:r>
          </w:p>
        </w:tc>
        <w:tc>
          <w:tcPr>
            <w:tcW w:type="dxa" w:w="1872"/>
          </w:tcPr>
          <w:p>
            <w:pPr>
              <w:jc w:val="right"/>
              <w:bidi w:val="1"/>
            </w:pPr>
            <w:r>
              <w:rPr>
                <w:sz w:val="16"/>
                <w:rtl w:val="1"/>
              </w:rPr>
              <w:t>MFA مُطبَّق على 100% من الحسابات المميزة والأنظمة الحساسة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تأسيس فريق الاستجابة للحوادث الأمنية (CSIRT) وتحديد تشكيلته وصلاحياته وارتباطه التنظيمي بـ CISO وخطوط الإبلاغ إلى لجنة حوكمة الأمن السيبراني</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قرار تأسيس CSIRT مع هيكل تنظيمي وصلاحيات موثقة</w:t>
            </w:r>
          </w:p>
        </w:tc>
      </w:tr>
      <w:tr>
        <w:tc>
          <w:tcPr>
            <w:tcW w:type="dxa" w:w="1872"/>
          </w:tcPr>
          <w:p>
            <w:pPr>
              <w:jc w:val="right"/>
              <w:bidi w:val="1"/>
            </w:pPr>
            <w:r>
              <w:rPr>
                <w:sz w:val="16"/>
                <w:rtl w:val="1"/>
              </w:rPr>
              <w:t>2</w:t>
            </w:r>
          </w:p>
        </w:tc>
        <w:tc>
          <w:tcPr>
            <w:tcW w:type="dxa" w:w="1872"/>
          </w:tcPr>
          <w:p>
            <w:pPr>
              <w:jc w:val="right"/>
              <w:bidi w:val="1"/>
            </w:pPr>
            <w:r>
              <w:rPr>
                <w:sz w:val="16"/>
                <w:rtl w:val="1"/>
              </w:rPr>
              <w:t>إعداد خطة الاستجابة للحوادث الأمنية (IRP) تشمل تصنيف الحوادث وإجراءات الاحتواء والاستئصال والتعافي وآليات التواصل الداخلي والخارجي</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2–3</w:t>
            </w:r>
          </w:p>
        </w:tc>
        <w:tc>
          <w:tcPr>
            <w:tcW w:type="dxa" w:w="1872"/>
          </w:tcPr>
          <w:p>
            <w:pPr>
              <w:jc w:val="right"/>
              <w:bidi w:val="1"/>
            </w:pPr>
            <w:r>
              <w:rPr>
                <w:sz w:val="16"/>
                <w:rtl w:val="1"/>
              </w:rPr>
              <w:t>خطة استجابة للحوادث معتمدة ومحدّثة وموزعة</w:t>
            </w:r>
          </w:p>
        </w:tc>
      </w:tr>
      <w:tr>
        <w:tc>
          <w:tcPr>
            <w:tcW w:type="dxa" w:w="1872"/>
          </w:tcPr>
          <w:p>
            <w:pPr>
              <w:jc w:val="right"/>
              <w:bidi w:val="1"/>
            </w:pPr>
            <w:r>
              <w:rPr>
                <w:sz w:val="16"/>
                <w:rtl w:val="1"/>
              </w:rPr>
              <w:t>3</w:t>
            </w:r>
          </w:p>
        </w:tc>
        <w:tc>
          <w:tcPr>
            <w:tcW w:type="dxa" w:w="1872"/>
          </w:tcPr>
          <w:p>
            <w:pPr>
              <w:jc w:val="right"/>
              <w:bidi w:val="1"/>
            </w:pPr>
            <w:r>
              <w:rPr>
                <w:sz w:val="16"/>
                <w:rtl w:val="1"/>
              </w:rPr>
              <w:t>توثيق إجراءات التعامل مع اختراق البيانات (Data Breach Response Procedures) بما يشمل متطلبات الإبلاغ وحفظ الأدلة الجنائية الرقمية</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3–4</w:t>
            </w:r>
          </w:p>
        </w:tc>
        <w:tc>
          <w:tcPr>
            <w:tcW w:type="dxa" w:w="1872"/>
          </w:tcPr>
          <w:p>
            <w:pPr>
              <w:jc w:val="right"/>
              <w:bidi w:val="1"/>
            </w:pPr>
            <w:r>
              <w:rPr>
                <w:sz w:val="16"/>
                <w:rtl w:val="1"/>
              </w:rPr>
              <w:t>إجراءات اختراق البيانات موثقة ومعتمدة</w:t>
            </w:r>
          </w:p>
        </w:tc>
      </w:tr>
      <w:tr>
        <w:tc>
          <w:tcPr>
            <w:tcW w:type="dxa" w:w="1872"/>
          </w:tcPr>
          <w:p>
            <w:pPr>
              <w:jc w:val="right"/>
              <w:bidi w:val="1"/>
            </w:pPr>
            <w:r>
              <w:rPr>
                <w:sz w:val="16"/>
                <w:rtl w:val="1"/>
              </w:rPr>
              <w:t>4</w:t>
            </w:r>
          </w:p>
        </w:tc>
        <w:tc>
          <w:tcPr>
            <w:tcW w:type="dxa" w:w="1872"/>
          </w:tcPr>
          <w:p>
            <w:pPr>
              <w:jc w:val="right"/>
              <w:bidi w:val="1"/>
            </w:pPr>
            <w:r>
              <w:rPr>
                <w:sz w:val="16"/>
                <w:rtl w:val="1"/>
              </w:rPr>
              <w:t>تنفيذ تمرين محاكاة حوادث أمنية (Tabletop Exercise) يشمل سيناريو برمجيات الفدية واختراق البيانات لاختبار خطة الاستجابة وتحديد الثغرات التشغيلية</w:t>
            </w:r>
          </w:p>
        </w:tc>
        <w:tc>
          <w:tcPr>
            <w:tcW w:type="dxa" w:w="1872"/>
          </w:tcPr>
          <w:p>
            <w:pPr>
              <w:jc w:val="right"/>
              <w:bidi w:val="1"/>
            </w:pPr>
            <w:r>
              <w:rPr>
                <w:sz w:val="16"/>
                <w:rtl w:val="1"/>
              </w:rPr>
              <w:t>SOC Manager</w:t>
            </w:r>
          </w:p>
        </w:tc>
        <w:tc>
          <w:tcPr>
            <w:tcW w:type="dxa" w:w="1872"/>
          </w:tcPr>
          <w:p>
            <w:pPr>
              <w:jc w:val="right"/>
              <w:bidi w:val="1"/>
            </w:pPr>
            <w:r>
              <w:rPr>
                <w:sz w:val="16"/>
                <w:rtl w:val="1"/>
              </w:rPr>
              <w:t>الشهر 5–6</w:t>
            </w:r>
          </w:p>
        </w:tc>
        <w:tc>
          <w:tcPr>
            <w:tcW w:type="dxa" w:w="1872"/>
          </w:tcPr>
          <w:p>
            <w:pPr>
              <w:jc w:val="right"/>
              <w:bidi w:val="1"/>
            </w:pPr>
            <w:r>
              <w:rPr>
                <w:sz w:val="16"/>
                <w:rtl w:val="1"/>
              </w:rPr>
              <w:t>تقرير تمرين المحاكاة مع خطة معالجة الثغرات المُكتشفة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إطلاق برنامج دوري لفحص الثغرات الأمنية يشمل جميع الأصول الرقمية (خوادم، نقاط نهاية، تطبيقات ويب) مع تحديد دورة معالجة الثغرات وأولوياتها وفق تصنيف CVSS</w:t>
            </w:r>
          </w:p>
        </w:tc>
        <w:tc>
          <w:tcPr>
            <w:tcW w:type="dxa" w:w="1872"/>
          </w:tcPr>
          <w:p>
            <w:pPr>
              <w:jc w:val="right"/>
              <w:bidi w:val="1"/>
            </w:pPr>
            <w:r>
              <w:rPr>
                <w:sz w:val="16"/>
                <w:rtl w:val="1"/>
              </w:rPr>
              <w:t>CISO</w:t>
            </w:r>
          </w:p>
        </w:tc>
        <w:tc>
          <w:tcPr>
            <w:tcW w:type="dxa" w:w="1872"/>
          </w:tcPr>
          <w:p>
            <w:pPr>
              <w:jc w:val="right"/>
              <w:bidi w:val="1"/>
            </w:pPr>
            <w:r>
              <w:rPr>
                <w:sz w:val="16"/>
                <w:rtl w:val="1"/>
              </w:rPr>
              <w:t>الشهر 1–3</w:t>
            </w:r>
          </w:p>
        </w:tc>
        <w:tc>
          <w:tcPr>
            <w:tcW w:type="dxa" w:w="1872"/>
          </w:tcPr>
          <w:p>
            <w:pPr>
              <w:jc w:val="right"/>
              <w:bidi w:val="1"/>
            </w:pPr>
            <w:r>
              <w:rPr>
                <w:sz w:val="16"/>
                <w:rtl w:val="1"/>
              </w:rPr>
              <w:t>تقرير فحص ثغرات أول مع سجل تتبع معالجة الثغرات</w:t>
            </w:r>
          </w:p>
        </w:tc>
      </w:tr>
      <w:tr>
        <w:tc>
          <w:tcPr>
            <w:tcW w:type="dxa" w:w="1872"/>
          </w:tcPr>
          <w:p>
            <w:pPr>
              <w:jc w:val="right"/>
              <w:bidi w:val="1"/>
            </w:pPr>
            <w:r>
              <w:rPr>
                <w:sz w:val="16"/>
                <w:rtl w:val="1"/>
              </w:rPr>
              <w:t>2</w:t>
            </w:r>
          </w:p>
        </w:tc>
        <w:tc>
          <w:tcPr>
            <w:tcW w:type="dxa" w:w="1872"/>
          </w:tcPr>
          <w:p>
            <w:pPr>
              <w:jc w:val="right"/>
              <w:bidi w:val="1"/>
            </w:pPr>
            <w:r>
              <w:rPr>
                <w:sz w:val="16"/>
                <w:rtl w:val="1"/>
              </w:rPr>
              <w:t>نشر حلول لمنع فقدان البيانات (DLP) على نقاط النهاية والبريد الإلكتروني والشبكة لمراقبة وتقييد حركة البيانات الحساسة والكشف عن محاولات التسرب</w:t>
            </w:r>
          </w:p>
        </w:tc>
        <w:tc>
          <w:tcPr>
            <w:tcW w:type="dxa" w:w="1872"/>
          </w:tcPr>
          <w:p>
            <w:pPr>
              <w:jc w:val="right"/>
              <w:bidi w:val="1"/>
            </w:pPr>
            <w:r>
              <w:rPr>
                <w:sz w:val="16"/>
                <w:rtl w:val="1"/>
              </w:rPr>
              <w:t>SOC Manager</w:t>
            </w:r>
          </w:p>
        </w:tc>
        <w:tc>
          <w:tcPr>
            <w:tcW w:type="dxa" w:w="1872"/>
          </w:tcPr>
          <w:p>
            <w:pPr>
              <w:jc w:val="right"/>
              <w:bidi w:val="1"/>
            </w:pPr>
            <w:r>
              <w:rPr>
                <w:sz w:val="16"/>
                <w:rtl w:val="1"/>
              </w:rPr>
              <w:t>الشهر 2–4</w:t>
            </w:r>
          </w:p>
        </w:tc>
        <w:tc>
          <w:tcPr>
            <w:tcW w:type="dxa" w:w="1872"/>
          </w:tcPr>
          <w:p>
            <w:pPr>
              <w:jc w:val="right"/>
              <w:bidi w:val="1"/>
            </w:pPr>
            <w:r>
              <w:rPr>
                <w:sz w:val="16"/>
                <w:rtl w:val="1"/>
              </w:rPr>
              <w:t>حل DLP مُشغَّل مع سياسات حماية ونقل البيانات الحساسة مفعّلة</w:t>
            </w:r>
          </w:p>
        </w:tc>
      </w:tr>
      <w:tr>
        <w:tc>
          <w:tcPr>
            <w:tcW w:type="dxa" w:w="1872"/>
          </w:tcPr>
          <w:p>
            <w:pPr>
              <w:jc w:val="right"/>
              <w:bidi w:val="1"/>
            </w:pPr>
            <w:r>
              <w:rPr>
                <w:sz w:val="16"/>
                <w:rtl w:val="1"/>
              </w:rPr>
              <w:t>3</w:t>
            </w:r>
          </w:p>
        </w:tc>
        <w:tc>
          <w:tcPr>
            <w:tcW w:type="dxa" w:w="1872"/>
          </w:tcPr>
          <w:p>
            <w:pPr>
              <w:jc w:val="right"/>
              <w:bidi w:val="1"/>
            </w:pPr>
            <w:r>
              <w:rPr>
                <w:sz w:val="16"/>
                <w:rtl w:val="1"/>
              </w:rPr>
              <w:t>مراجعة وتقييد ضوابط الوصول عن بُعد (VPN / Zero Trust) وإلغاء أي وصول عن بُعد غير مُصرح به أو غير موثق، وتطبيق مبدأ الحد الأدنى من الامتياز على جميع اتصالات الوصول عن بُعد</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3–4</w:t>
            </w:r>
          </w:p>
        </w:tc>
        <w:tc>
          <w:tcPr>
            <w:tcW w:type="dxa" w:w="1872"/>
          </w:tcPr>
          <w:p>
            <w:pPr>
              <w:jc w:val="right"/>
              <w:bidi w:val="1"/>
            </w:pPr>
            <w:r>
              <w:rPr>
                <w:sz w:val="16"/>
                <w:rtl w:val="1"/>
              </w:rPr>
              <w:t>سياسة وصول عن بُعد معتمدة مع تقرير مراجعة وصول موثق</w:t>
            </w:r>
          </w:p>
        </w:tc>
      </w:tr>
      <w:tr>
        <w:tc>
          <w:tcPr>
            <w:tcW w:type="dxa" w:w="1872"/>
          </w:tcPr>
          <w:p>
            <w:pPr>
              <w:jc w:val="right"/>
              <w:bidi w:val="1"/>
            </w:pPr>
            <w:r>
              <w:rPr>
                <w:sz w:val="16"/>
                <w:rtl w:val="1"/>
              </w:rPr>
              <w:t>4</w:t>
            </w:r>
          </w:p>
        </w:tc>
        <w:tc>
          <w:tcPr>
            <w:tcW w:type="dxa" w:w="1872"/>
          </w:tcPr>
          <w:p>
            <w:pPr>
              <w:jc w:val="right"/>
              <w:bidi w:val="1"/>
            </w:pPr>
            <w:r>
              <w:rPr>
                <w:sz w:val="16"/>
                <w:rtl w:val="1"/>
              </w:rPr>
              <w:t>دمج نتائج فحص الثغرات مع منصة SIEM لتوليد تنبيهات الاستغلال النشط وربط إدارة الثغرات بدورة تحديث الأنظمة والتصحيح (Patch Management)</w:t>
            </w:r>
          </w:p>
        </w:tc>
        <w:tc>
          <w:tcPr>
            <w:tcW w:type="dxa" w:w="1872"/>
          </w:tcPr>
          <w:p>
            <w:pPr>
              <w:jc w:val="right"/>
              <w:bidi w:val="1"/>
            </w:pPr>
            <w:r>
              <w:rPr>
                <w:sz w:val="16"/>
                <w:rtl w:val="1"/>
              </w:rPr>
              <w:t>SOC Manager</w:t>
            </w:r>
          </w:p>
        </w:tc>
        <w:tc>
          <w:tcPr>
            <w:tcW w:type="dxa" w:w="1872"/>
          </w:tcPr>
          <w:p>
            <w:pPr>
              <w:jc w:val="right"/>
              <w:bidi w:val="1"/>
            </w:pPr>
            <w:r>
              <w:rPr>
                <w:sz w:val="16"/>
                <w:rtl w:val="1"/>
              </w:rPr>
              <w:t>الشهر 4–6</w:t>
            </w:r>
          </w:p>
        </w:tc>
        <w:tc>
          <w:tcPr>
            <w:tcW w:type="dxa" w:w="1872"/>
          </w:tcPr>
          <w:p>
            <w:pPr>
              <w:jc w:val="right"/>
              <w:bidi w:val="1"/>
            </w:pPr>
            <w:r>
              <w:rPr>
                <w:sz w:val="16"/>
                <w:rtl w:val="1"/>
              </w:rPr>
              <w:t>تكامل إدارة الثغرات مع SIEM وتقرير مؤشر معالجة الثغرات الحرجة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إعداد واعتماد إطار تصنيف البيانات وتصنيف الأصول البيانية (عام، داخلي، سري، سري للغاية) وتحديد متطلبات تداول البيانات الحساسة ومعالجة البيانات الحساسة وفق NCA DCC</w:t>
            </w:r>
          </w:p>
        </w:tc>
        <w:tc>
          <w:tcPr>
            <w:tcW w:type="dxa" w:w="1872"/>
          </w:tcPr>
          <w:p>
            <w:pPr>
              <w:jc w:val="right"/>
              <w:bidi w:val="1"/>
            </w:pPr>
            <w:r>
              <w:rPr>
                <w:sz w:val="16"/>
                <w:rtl w:val="1"/>
              </w:rPr>
              <w:t>مسؤول أمن السيبراني Lead</w:t>
            </w:r>
          </w:p>
        </w:tc>
        <w:tc>
          <w:tcPr>
            <w:tcW w:type="dxa" w:w="1872"/>
          </w:tcPr>
          <w:p>
            <w:pPr>
              <w:jc w:val="right"/>
              <w:bidi w:val="1"/>
            </w:pPr>
            <w:r>
              <w:rPr>
                <w:sz w:val="16"/>
                <w:rtl w:val="1"/>
              </w:rPr>
              <w:t>الشهر 1–2</w:t>
            </w:r>
          </w:p>
        </w:tc>
        <w:tc>
          <w:tcPr>
            <w:tcW w:type="dxa" w:w="1872"/>
          </w:tcPr>
          <w:p>
            <w:pPr>
              <w:jc w:val="right"/>
              <w:bidi w:val="1"/>
            </w:pPr>
            <w:r>
              <w:rPr>
                <w:sz w:val="16"/>
                <w:rtl w:val="1"/>
              </w:rPr>
              <w:t>سياسة تصنيف البيانات معتمدة مع وسم جميع الأصول البيانية الحيوية</w:t>
            </w:r>
          </w:p>
        </w:tc>
      </w:tr>
      <w:tr>
        <w:tc>
          <w:tcPr>
            <w:tcW w:type="dxa" w:w="1872"/>
          </w:tcPr>
          <w:p>
            <w:pPr>
              <w:jc w:val="right"/>
              <w:bidi w:val="1"/>
            </w:pPr>
            <w:r>
              <w:rPr>
                <w:sz w:val="16"/>
                <w:rtl w:val="1"/>
              </w:rPr>
              <w:t>2</w:t>
            </w:r>
          </w:p>
        </w:tc>
        <w:tc>
          <w:tcPr>
            <w:tcW w:type="dxa" w:w="1872"/>
          </w:tcPr>
          <w:p>
            <w:pPr>
              <w:jc w:val="right"/>
              <w:bidi w:val="1"/>
            </w:pPr>
            <w:r>
              <w:rPr>
                <w:sz w:val="16"/>
                <w:rtl w:val="1"/>
              </w:rPr>
              <w:t>تطبيق ضوابط التعامل مع البيانات الحساسة على جميع مراحل دورة حياة البيانات، وتحديد إجراءات المعالجة المصرح بها لكل مستوى تصنيف، وتدريب الكوادر على تداول البيانات الحساسة</w:t>
            </w:r>
          </w:p>
        </w:tc>
        <w:tc>
          <w:tcPr>
            <w:tcW w:type="dxa" w:w="1872"/>
          </w:tcPr>
          <w:p>
            <w:pPr>
              <w:jc w:val="right"/>
              <w:bidi w:val="1"/>
            </w:pPr>
            <w:r>
              <w:rPr>
                <w:sz w:val="16"/>
                <w:rtl w:val="1"/>
              </w:rPr>
              <w:t>مسؤول أمن السيبراني Lead / CISO</w:t>
            </w:r>
          </w:p>
        </w:tc>
        <w:tc>
          <w:tcPr>
            <w:tcW w:type="dxa" w:w="1872"/>
          </w:tcPr>
          <w:p>
            <w:pPr>
              <w:jc w:val="right"/>
              <w:bidi w:val="1"/>
            </w:pPr>
            <w:r>
              <w:rPr>
                <w:sz w:val="16"/>
                <w:rtl w:val="1"/>
              </w:rPr>
              <w:t>الشهر 2–3</w:t>
            </w:r>
          </w:p>
        </w:tc>
        <w:tc>
          <w:tcPr>
            <w:tcW w:type="dxa" w:w="1872"/>
          </w:tcPr>
          <w:p>
            <w:pPr>
              <w:jc w:val="right"/>
              <w:bidi w:val="1"/>
            </w:pPr>
            <w:r>
              <w:rPr>
                <w:sz w:val="16"/>
                <w:rtl w:val="1"/>
              </w:rPr>
              <w:t>إجراءات معالجة البيانات الحساسة موثقة ومعتمدة مع سجل تدريب</w:t>
            </w:r>
          </w:p>
        </w:tc>
      </w:tr>
      <w:tr>
        <w:tc>
          <w:tcPr>
            <w:tcW w:type="dxa" w:w="1872"/>
          </w:tcPr>
          <w:p>
            <w:pPr>
              <w:jc w:val="right"/>
              <w:bidi w:val="1"/>
            </w:pPr>
            <w:r>
              <w:rPr>
                <w:sz w:val="16"/>
                <w:rtl w:val="1"/>
              </w:rPr>
              <w:t>3</w:t>
            </w:r>
          </w:p>
        </w:tc>
        <w:tc>
          <w:tcPr>
            <w:tcW w:type="dxa" w:w="1872"/>
          </w:tcPr>
          <w:p>
            <w:pPr>
              <w:jc w:val="right"/>
              <w:bidi w:val="1"/>
            </w:pPr>
            <w:r>
              <w:rPr>
                <w:sz w:val="16"/>
                <w:rtl w:val="1"/>
              </w:rPr>
              <w:t>تنفيذ سياسة تشفير البيانات أثناء النقل والتخزين (TLS 1.3 للنقل، AES-256 للتخزين) على جميع الأنظمة التي تحتوي على بيانات حساسة وفق متطلبات NCA DCC لعائلة التشفير وحماية البيانات</w:t>
            </w:r>
          </w:p>
        </w:tc>
        <w:tc>
          <w:tcPr>
            <w:tcW w:type="dxa" w:w="1872"/>
          </w:tcPr>
          <w:p>
            <w:pPr>
              <w:jc w:val="right"/>
              <w:bidi w:val="1"/>
            </w:pPr>
            <w:r>
              <w:rPr>
                <w:sz w:val="16"/>
                <w:rtl w:val="1"/>
              </w:rPr>
              <w:t>CISO / SOC Manager</w:t>
            </w:r>
          </w:p>
        </w:tc>
        <w:tc>
          <w:tcPr>
            <w:tcW w:type="dxa" w:w="1872"/>
          </w:tcPr>
          <w:p>
            <w:pPr>
              <w:jc w:val="right"/>
              <w:bidi w:val="1"/>
            </w:pPr>
            <w:r>
              <w:rPr>
                <w:sz w:val="16"/>
                <w:rtl w:val="1"/>
              </w:rPr>
              <w:t>الشهر 3–5</w:t>
            </w:r>
          </w:p>
        </w:tc>
        <w:tc>
          <w:tcPr>
            <w:tcW w:type="dxa" w:w="1872"/>
          </w:tcPr>
          <w:p>
            <w:pPr>
              <w:jc w:val="right"/>
              <w:bidi w:val="1"/>
            </w:pPr>
            <w:r>
              <w:rPr>
                <w:sz w:val="16"/>
                <w:rtl w:val="1"/>
              </w:rPr>
              <w:t>تقرير امتثال تشفير يُثبت تغطية 100% للأنظمة الحساسة</w:t>
            </w:r>
          </w:p>
        </w:tc>
      </w:tr>
      <w:tr>
        <w:tc>
          <w:tcPr>
            <w:tcW w:type="dxa" w:w="1872"/>
          </w:tcPr>
          <w:p>
            <w:pPr>
              <w:jc w:val="right"/>
              <w:bidi w:val="1"/>
            </w:pPr>
            <w:r>
              <w:rPr>
                <w:sz w:val="16"/>
                <w:rtl w:val="1"/>
              </w:rPr>
              <w:t>4</w:t>
            </w:r>
          </w:p>
        </w:tc>
        <w:tc>
          <w:tcPr>
            <w:tcW w:type="dxa" w:w="1872"/>
          </w:tcPr>
          <w:p>
            <w:pPr>
              <w:jc w:val="right"/>
              <w:bidi w:val="1"/>
            </w:pPr>
            <w:r>
              <w:rPr>
                <w:sz w:val="16"/>
                <w:rtl w:val="1"/>
              </w:rPr>
              <w:t>ربط ضوابط حماية البيانات وضوابط منع فقدان البيانات (DLP) بإطار تصنيف البيانات لضمان تطبيق سياسات الحماية تلقائياً بناءً على مستوى التصنيف، مع مراجعة دورية ربع سنوية</w:t>
            </w:r>
          </w:p>
        </w:tc>
        <w:tc>
          <w:tcPr>
            <w:tcW w:type="dxa" w:w="1872"/>
          </w:tcPr>
          <w:p>
            <w:pPr>
              <w:jc w:val="right"/>
              <w:bidi w:val="1"/>
            </w:pPr>
            <w:r>
              <w:rPr>
                <w:sz w:val="16"/>
                <w:rtl w:val="1"/>
              </w:rPr>
              <w:t>CISO / مسؤول أمن السيبراني Lead</w:t>
            </w:r>
          </w:p>
        </w:tc>
        <w:tc>
          <w:tcPr>
            <w:tcW w:type="dxa" w:w="1872"/>
          </w:tcPr>
          <w:p>
            <w:pPr>
              <w:jc w:val="right"/>
              <w:bidi w:val="1"/>
            </w:pPr>
            <w:r>
              <w:rPr>
                <w:sz w:val="16"/>
                <w:rtl w:val="1"/>
              </w:rPr>
              <w:t>الشهر 5–6</w:t>
            </w:r>
          </w:p>
        </w:tc>
        <w:tc>
          <w:tcPr>
            <w:tcW w:type="dxa" w:w="1872"/>
          </w:tcPr>
          <w:p>
            <w:pPr>
              <w:jc w:val="right"/>
              <w:bidi w:val="1"/>
            </w:pPr>
            <w:r>
              <w:rPr>
                <w:sz w:val="16"/>
                <w:rtl w:val="1"/>
              </w:rPr>
              <w:t>تكامل DLP مع إطار التصنيف موثق مع تقرير مراجعة ربع سنوي أول</w:t>
            </w:r>
          </w:p>
        </w:tc>
      </w:tr>
    </w:tbl>
    <w:p/>
    <w:p>
      <w:r>
        <w:br w:type="page"/>
      </w:r>
    </w:p>
    <w:p>
      <w:pPr>
        <w:spacing w:before="160" w:after="40"/>
        <w:jc w:val="right"/>
        <w:bidi w:val="1"/>
      </w:pPr>
      <w:r>
        <w:rPr>
          <w:b/>
          <w:color w:val="1D2B4F"/>
          <w:sz w:val="28"/>
          <w:rtl w:val="1"/>
        </w:rPr>
        <w:t>خارطة الطريق التنفيذية</w:t>
      </w:r>
    </w:p>
    <w:p>
      <w:pPr>
        <w:pBdr>
          <w:bottom w:val="single" w:sz="12" w:space="2" w:color="D04A02"/>
        </w:pBdr>
        <w:spacing w:after="160"/>
      </w:pPr>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المرحلة</w:t>
            </w:r>
          </w:p>
        </w:tc>
        <w:tc>
          <w:tcPr>
            <w:tcW w:type="dxa" w:w="1560"/>
            <w:shd w:val="clear" w:color="auto" w:fill="1D2B4F"/>
          </w:tcPr>
          <w:p>
            <w:pPr>
              <w:jc w:val="right"/>
              <w:bidi w:val="1"/>
            </w:pPr>
            <w:r>
              <w:rPr>
                <w:b/>
                <w:color w:val="FFFFFF"/>
                <w:sz w:val="18"/>
                <w:rtl w:val="1"/>
              </w:rPr>
              <w:t>الفترة</w:t>
            </w:r>
          </w:p>
        </w:tc>
        <w:tc>
          <w:tcPr>
            <w:tcW w:type="dxa" w:w="1560"/>
            <w:shd w:val="clear" w:color="auto" w:fill="1D2B4F"/>
          </w:tcPr>
          <w:p>
            <w:pPr>
              <w:jc w:val="right"/>
              <w:bidi w:val="1"/>
            </w:pPr>
            <w:r>
              <w:rPr>
                <w:b/>
                <w:color w:val="FFFFFF"/>
                <w:sz w:val="18"/>
                <w:rtl w:val="1"/>
              </w:rPr>
              <w:t>المبادرة</w:t>
            </w:r>
          </w:p>
        </w:tc>
        <w:tc>
          <w:tcPr>
            <w:tcW w:type="dxa" w:w="1560"/>
            <w:shd w:val="clear" w:color="auto" w:fill="1D2B4F"/>
          </w:tcPr>
          <w:p>
            <w:pPr>
              <w:jc w:val="right"/>
              <w:bidi w:val="1"/>
            </w:pPr>
            <w:r>
              <w:rPr>
                <w:b/>
                <w:color w:val="FFFFFF"/>
                <w:sz w:val="18"/>
                <w:rtl w:val="1"/>
              </w:rPr>
              <w:t>المسؤول</w:t>
            </w:r>
          </w:p>
        </w:tc>
        <w:tc>
          <w:tcPr>
            <w:tcW w:type="dxa" w:w="1560"/>
            <w:shd w:val="clear" w:color="auto" w:fill="1D2B4F"/>
          </w:tcPr>
          <w:p>
            <w:pPr>
              <w:jc w:val="right"/>
              <w:bidi w:val="1"/>
            </w:pPr>
            <w:r>
              <w:rPr>
                <w:b/>
                <w:color w:val="FFFFFF"/>
                <w:sz w:val="18"/>
                <w:rtl w:val="1"/>
              </w:rPr>
              <w:t>المخرج المتوقع</w:t>
            </w:r>
          </w:p>
        </w:tc>
        <w:tc>
          <w:tcPr>
            <w:tcW w:type="dxa" w:w="1560"/>
            <w:shd w:val="clear" w:color="auto" w:fill="1D2B4F"/>
          </w:tcPr>
          <w:p>
            <w:pPr>
              <w:jc w:val="right"/>
              <w:bidi w:val="1"/>
            </w:pPr>
            <w:r>
              <w:rPr>
                <w:b/>
                <w:color w:val="FFFFFF"/>
                <w:sz w:val="18"/>
                <w:rtl w:val="1"/>
              </w:rPr>
              <w:t>الإطار المرتبط</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حوكمة الأمن السيبراني وتعيين CISO</w:t>
            </w:r>
          </w:p>
        </w:tc>
        <w:tc>
          <w:tcPr>
            <w:tcW w:type="dxa" w:w="1560"/>
          </w:tcPr>
          <w:p>
            <w:pPr>
              <w:jc w:val="right"/>
              <w:bidi w:val="1"/>
            </w:pPr>
            <w:r>
              <w:rPr>
                <w:sz w:val="16"/>
                <w:rtl w:val="1"/>
              </w:rPr>
              <w:t>CISO</w:t>
            </w:r>
          </w:p>
        </w:tc>
        <w:tc>
          <w:tcPr>
            <w:tcW w:type="dxa" w:w="1560"/>
          </w:tcPr>
          <w:p>
            <w:pPr>
              <w:jc w:val="right"/>
              <w:bidi w:val="1"/>
            </w:pPr>
            <w:r>
              <w:rPr>
                <w:sz w:val="16"/>
                <w:rtl w:val="1"/>
              </w:rPr>
              <w:t>إدارة ولجنة حوكمة فاعلة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تصنيف وجرد البيانات الحساسة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سجل بيانات مصنفة ومعتمد</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تأسيس مركز العمليات الأمنية (SOC) وتطبيق منظومة المراقبة والاستجابة للح</w:t>
            </w:r>
          </w:p>
        </w:tc>
        <w:tc>
          <w:tcPr>
            <w:tcW w:type="dxa" w:w="1560"/>
          </w:tcPr>
          <w:p>
            <w:pPr>
              <w:jc w:val="right"/>
              <w:bidi w:val="1"/>
            </w:pPr>
            <w:r>
              <w:rPr>
                <w:sz w:val="16"/>
                <w:rtl w:val="1"/>
              </w:rPr>
              <w:t>مسؤول حماية البيانات</w:t>
            </w:r>
          </w:p>
        </w:tc>
        <w:tc>
          <w:tcPr>
            <w:tcW w:type="dxa" w:w="1560"/>
          </w:tcPr>
          <w:p>
            <w:pPr>
              <w:jc w:val="right"/>
              <w:bidi w:val="1"/>
            </w:pPr>
            <w:r>
              <w:rPr>
                <w:sz w:val="16"/>
                <w:rtl w:val="1"/>
              </w:rPr>
              <w:t>SOC تشغيلي، منصة SIEM مفعّلة، دليل الاستجابة للحوادث، سياسة DLP، تقرير</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تطبيق IAM/PAM/MFA</w:t>
            </w:r>
          </w:p>
        </w:tc>
        <w:tc>
          <w:tcPr>
            <w:tcW w:type="dxa" w:w="1560"/>
          </w:tcPr>
          <w:p>
            <w:pPr>
              <w:jc w:val="right"/>
              <w:bidi w:val="1"/>
            </w:pPr>
            <w:r>
              <w:rPr>
                <w:sz w:val="16"/>
                <w:rtl w:val="1"/>
              </w:rPr>
              <w:t>مدير IAM/PAM</w:t>
            </w:r>
          </w:p>
        </w:tc>
        <w:tc>
          <w:tcPr>
            <w:tcW w:type="dxa" w:w="1560"/>
          </w:tcPr>
          <w:p>
            <w:pPr>
              <w:jc w:val="right"/>
              <w:bidi w:val="1"/>
            </w:pPr>
            <w:r>
              <w:rPr>
                <w:sz w:val="16"/>
                <w:rtl w:val="1"/>
              </w:rPr>
              <w:t>منصة IAM/PAM مع تغطية MFA للحسابات الحرجة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تمكين وتشغيل SOC/SIEM</w:t>
            </w:r>
          </w:p>
        </w:tc>
        <w:tc>
          <w:tcPr>
            <w:tcW w:type="dxa" w:w="1560"/>
          </w:tcPr>
          <w:p>
            <w:pPr>
              <w:jc w:val="right"/>
              <w:bidi w:val="1"/>
            </w:pPr>
            <w:r>
              <w:rPr>
                <w:sz w:val="16"/>
                <w:rtl w:val="1"/>
              </w:rPr>
              <w:t>مدير SOC</w:t>
            </w:r>
          </w:p>
        </w:tc>
        <w:tc>
          <w:tcPr>
            <w:tcW w:type="dxa" w:w="1560"/>
          </w:tcPr>
          <w:p>
            <w:pPr>
              <w:jc w:val="right"/>
              <w:bidi w:val="1"/>
            </w:pPr>
            <w:r>
              <w:rPr>
                <w:sz w:val="16"/>
                <w:rtl w:val="1"/>
              </w:rPr>
              <w:t>SOC/SIEM تشغيلي</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تحسين إدارة الثغرات والاستجابة للحوادث CSIRT</w:t>
            </w:r>
          </w:p>
        </w:tc>
        <w:tc>
          <w:tcPr>
            <w:tcW w:type="dxa" w:w="1560"/>
          </w:tcPr>
          <w:p>
            <w:pPr>
              <w:jc w:val="right"/>
              <w:bidi w:val="1"/>
            </w:pPr>
            <w:r>
              <w:rPr>
                <w:sz w:val="16"/>
                <w:rtl w:val="1"/>
              </w:rPr>
              <w:t>قائد CSIRT</w:t>
            </w:r>
          </w:p>
        </w:tc>
        <w:tc>
          <w:tcPr>
            <w:tcW w:type="dxa" w:w="1560"/>
          </w:tcPr>
          <w:p>
            <w:pPr>
              <w:jc w:val="right"/>
              <w:bidi w:val="1"/>
            </w:pPr>
            <w:r>
              <w:rPr>
                <w:sz w:val="16"/>
                <w:rtl w:val="1"/>
              </w:rPr>
              <w:t>نضج CSIRT وإدارة الثغرات</w:t>
            </w:r>
          </w:p>
        </w:tc>
        <w:tc>
          <w:tcPr>
            <w:tcW w:type="dxa" w:w="1560"/>
          </w:tcPr>
          <w:p>
            <w:pPr>
              <w:jc w:val="right"/>
              <w:bidi w:val="1"/>
            </w:pPr>
            <w:r>
              <w:rPr>
                <w:sz w:val="16"/>
                <w:rtl w:val="1"/>
              </w:rPr>
              <w:t>NCA ECC</w:t>
            </w:r>
          </w:p>
        </w:tc>
      </w:tr>
    </w:tbl>
    <w:p/>
    <w:p>
      <w:r>
        <w:br w:type="page"/>
      </w:r>
    </w:p>
    <w:p>
      <w:pPr>
        <w:spacing w:before="160" w:after="40"/>
        <w:jc w:val="right"/>
        <w:bidi w:val="1"/>
      </w:pPr>
      <w:r>
        <w:rPr>
          <w:b/>
          <w:color w:val="1D2B4F"/>
          <w:sz w:val="28"/>
          <w:rtl w:val="1"/>
        </w:rPr>
        <w:t>مؤشرات الأداء الرئيسية</w:t>
      </w:r>
    </w:p>
    <w:p>
      <w:pPr>
        <w:pBdr>
          <w:bottom w:val="single" w:sz="12" w:space="2" w:color="D04A02"/>
        </w:pBdr>
        <w:spacing w:after="160"/>
      </w:pPr>
    </w:p>
    <w:tbl>
      <w:tblPr>
        <w:tblW w:type="auto" w:w="0"/>
        <w:jc w:val="righ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D2B4F"/>
          </w:tcPr>
          <w:p>
            <w:pPr>
              <w:jc w:val="right"/>
              <w:bidi w:val="1"/>
            </w:pPr>
            <w:r>
              <w:rPr>
                <w:b/>
                <w:color w:val="FFFFFF"/>
                <w:sz w:val="18"/>
                <w:rtl w:val="1"/>
              </w:rPr>
              <w:t>#</w:t>
            </w:r>
          </w:p>
        </w:tc>
        <w:tc>
          <w:tcPr>
            <w:tcW w:type="dxa" w:w="1337"/>
            <w:shd w:val="clear" w:color="auto" w:fill="1D2B4F"/>
          </w:tcPr>
          <w:p>
            <w:pPr>
              <w:jc w:val="right"/>
              <w:bidi w:val="1"/>
            </w:pPr>
            <w:r>
              <w:rPr>
                <w:b/>
                <w:color w:val="FFFFFF"/>
                <w:sz w:val="18"/>
                <w:rtl w:val="1"/>
              </w:rPr>
              <w:t>المؤشر</w:t>
            </w:r>
          </w:p>
        </w:tc>
        <w:tc>
          <w:tcPr>
            <w:tcW w:type="dxa" w:w="1337"/>
            <w:shd w:val="clear" w:color="auto" w:fill="1D2B4F"/>
          </w:tcPr>
          <w:p>
            <w:pPr>
              <w:jc w:val="right"/>
              <w:bidi w:val="1"/>
            </w:pPr>
            <w:r>
              <w:rPr>
                <w:b/>
                <w:color w:val="FFFFFF"/>
                <w:sz w:val="18"/>
                <w:rtl w:val="1"/>
              </w:rPr>
              <w:t>النوع</w:t>
            </w:r>
          </w:p>
        </w:tc>
        <w:tc>
          <w:tcPr>
            <w:tcW w:type="dxa" w:w="1337"/>
            <w:shd w:val="clear" w:color="auto" w:fill="1D2B4F"/>
          </w:tcPr>
          <w:p>
            <w:pPr>
              <w:jc w:val="right"/>
              <w:bidi w:val="1"/>
            </w:pPr>
            <w:r>
              <w:rPr>
                <w:b/>
                <w:color w:val="FFFFFF"/>
                <w:sz w:val="18"/>
                <w:rtl w:val="1"/>
              </w:rPr>
              <w:t>القيمة المستهدفة</w:t>
            </w:r>
          </w:p>
        </w:tc>
        <w:tc>
          <w:tcPr>
            <w:tcW w:type="dxa" w:w="1337"/>
            <w:shd w:val="clear" w:color="auto" w:fill="1D2B4F"/>
          </w:tcPr>
          <w:p>
            <w:pPr>
              <w:jc w:val="right"/>
              <w:bidi w:val="1"/>
            </w:pPr>
            <w:r>
              <w:rPr>
                <w:b/>
                <w:color w:val="FFFFFF"/>
                <w:sz w:val="18"/>
                <w:rtl w:val="1"/>
              </w:rPr>
              <w:t>التكرار</w:t>
            </w:r>
          </w:p>
        </w:tc>
        <w:tc>
          <w:tcPr>
            <w:tcW w:type="dxa" w:w="1337"/>
            <w:shd w:val="clear" w:color="auto" w:fill="1D2B4F"/>
          </w:tcPr>
          <w:p>
            <w:pPr>
              <w:jc w:val="right"/>
              <w:bidi w:val="1"/>
            </w:pPr>
            <w:r>
              <w:rPr>
                <w:b/>
                <w:color w:val="FFFFFF"/>
                <w:sz w:val="18"/>
                <w:rtl w:val="1"/>
              </w:rPr>
              <w:t>المالك</w:t>
            </w:r>
          </w:p>
        </w:tc>
        <w:tc>
          <w:tcPr>
            <w:tcW w:type="dxa" w:w="1337"/>
            <w:shd w:val="clear" w:color="auto" w:fill="1D2B4F"/>
          </w:tcPr>
          <w:p>
            <w:pPr>
              <w:jc w:val="right"/>
              <w:bidi w:val="1"/>
            </w:pPr>
            <w:r>
              <w:rPr>
                <w:b/>
                <w:color w:val="FFFFFF"/>
                <w:sz w:val="18"/>
                <w:rtl w:val="1"/>
              </w:rPr>
              <w:t>الإطار الزمني</w:t>
            </w:r>
          </w:p>
        </w:tc>
      </w:tr>
      <w:tr>
        <w:tc>
          <w:tcPr>
            <w:tcW w:type="dxa" w:w="1337"/>
          </w:tcPr>
          <w:p>
            <w:pPr>
              <w:jc w:val="right"/>
              <w:bidi w:val="1"/>
            </w:pPr>
            <w:r>
              <w:rPr>
                <w:sz w:val="16"/>
                <w:rtl w:val="1"/>
              </w:rPr>
              <w:t>1</w:t>
            </w:r>
          </w:p>
        </w:tc>
        <w:tc>
          <w:tcPr>
            <w:tcW w:type="dxa" w:w="1337"/>
          </w:tcPr>
          <w:p>
            <w:pPr>
              <w:jc w:val="right"/>
              <w:bidi w:val="1"/>
            </w:pPr>
            <w:r>
              <w:rPr>
                <w:sz w:val="16"/>
                <w:rtl w:val="1"/>
              </w:rPr>
              <w:t>درجة مخاطر الأطراف الثالثة</w:t>
            </w:r>
          </w:p>
        </w:tc>
        <w:tc>
          <w:tcPr>
            <w:tcW w:type="dxa" w:w="1337"/>
          </w:tcPr>
          <w:p>
            <w:pPr>
              <w:jc w:val="right"/>
              <w:bidi w:val="1"/>
            </w:pPr>
            <w:r>
              <w:rPr>
                <w:sz w:val="16"/>
                <w:rtl w:val="1"/>
              </w:rPr>
              <w:t>KRI</w:t>
            </w:r>
          </w:p>
        </w:tc>
        <w:tc>
          <w:tcPr>
            <w:tcW w:type="dxa" w:w="1337"/>
          </w:tcPr>
          <w:p>
            <w:pPr>
              <w:jc w:val="right"/>
              <w:bidi w:val="1"/>
            </w:pPr>
            <w:r>
              <w:rPr>
                <w:sz w:val="16"/>
                <w:rtl w:val="1"/>
              </w:rPr>
              <w:t>≤ 3 (منخفض)</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2</w:t>
            </w:r>
          </w:p>
        </w:tc>
        <w:tc>
          <w:tcPr>
            <w:tcW w:type="dxa" w:w="1337"/>
          </w:tcPr>
          <w:p>
            <w:pPr>
              <w:jc w:val="right"/>
              <w:bidi w:val="1"/>
            </w:pPr>
            <w:r>
              <w:rPr>
                <w:sz w:val="16"/>
                <w:rtl w:val="1"/>
              </w:rPr>
              <w:t>عدد حوادث تسرب البيانات الحرجة</w:t>
            </w:r>
          </w:p>
        </w:tc>
        <w:tc>
          <w:tcPr>
            <w:tcW w:type="dxa" w:w="1337"/>
          </w:tcPr>
          <w:p>
            <w:pPr>
              <w:jc w:val="right"/>
              <w:bidi w:val="1"/>
            </w:pPr>
            <w:r>
              <w:rPr>
                <w:sz w:val="16"/>
                <w:rtl w:val="1"/>
              </w:rPr>
              <w:t>KRI</w:t>
            </w:r>
          </w:p>
        </w:tc>
        <w:tc>
          <w:tcPr>
            <w:tcW w:type="dxa" w:w="1337"/>
          </w:tcPr>
          <w:p>
            <w:pPr>
              <w:jc w:val="right"/>
              <w:bidi w:val="1"/>
            </w:pPr>
            <w:r>
              <w:rPr>
                <w:sz w:val="16"/>
                <w:rtl w:val="1"/>
              </w:rPr>
              <w:t>0 حوادث حرجة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3</w:t>
            </w:r>
          </w:p>
        </w:tc>
        <w:tc>
          <w:tcPr>
            <w:tcW w:type="dxa" w:w="1337"/>
          </w:tcPr>
          <w:p>
            <w:pPr>
              <w:jc w:val="right"/>
              <w:bidi w:val="1"/>
            </w:pPr>
            <w:r>
              <w:rPr>
                <w:sz w:val="16"/>
                <w:rtl w:val="1"/>
              </w:rPr>
              <w:t>نسبة امتثال ضوابط حوكمة الأمن السيبراني (ECC)</w:t>
            </w:r>
          </w:p>
        </w:tc>
        <w:tc>
          <w:tcPr>
            <w:tcW w:type="dxa" w:w="1337"/>
          </w:tcPr>
          <w:p>
            <w:pPr>
              <w:jc w:val="right"/>
              <w:bidi w:val="1"/>
            </w:pPr>
            <w:r>
              <w:rPr>
                <w:sz w:val="16"/>
                <w:rtl w:val="1"/>
              </w:rPr>
              <w:t>KPI</w:t>
            </w:r>
          </w:p>
        </w:tc>
        <w:tc>
          <w:tcPr>
            <w:tcW w:type="dxa" w:w="1337"/>
          </w:tcPr>
          <w:p>
            <w:pPr>
              <w:jc w:val="right"/>
              <w:bidi w:val="1"/>
            </w:pPr>
            <w:r>
              <w:rPr>
                <w:sz w:val="16"/>
                <w:rtl w:val="1"/>
              </w:rPr>
              <w:t>لا يقل عن 90%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4</w:t>
            </w:r>
          </w:p>
        </w:tc>
        <w:tc>
          <w:tcPr>
            <w:tcW w:type="dxa" w:w="1337"/>
          </w:tcPr>
          <w:p>
            <w:pPr>
              <w:jc w:val="right"/>
              <w:bidi w:val="1"/>
            </w:pPr>
            <w:r>
              <w:rPr>
                <w:sz w:val="16"/>
                <w:rtl w:val="1"/>
              </w:rPr>
              <w:t>عدد حوادث تسرب البيانات الحرجة</w:t>
            </w:r>
          </w:p>
        </w:tc>
        <w:tc>
          <w:tcPr>
            <w:tcW w:type="dxa" w:w="1337"/>
          </w:tcPr>
          <w:p>
            <w:pPr>
              <w:jc w:val="right"/>
              <w:bidi w:val="1"/>
            </w:pPr>
            <w:r>
              <w:rPr>
                <w:sz w:val="16"/>
                <w:rtl w:val="1"/>
              </w:rPr>
              <w:t>KRI</w:t>
            </w:r>
          </w:p>
        </w:tc>
        <w:tc>
          <w:tcPr>
            <w:tcW w:type="dxa" w:w="1337"/>
          </w:tcPr>
          <w:p>
            <w:pPr>
              <w:jc w:val="right"/>
              <w:bidi w:val="1"/>
            </w:pPr>
            <w:r>
              <w:rPr>
                <w:sz w:val="16"/>
                <w:rtl w:val="1"/>
              </w:rPr>
              <w:t>0 حوادث حرجة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5</w:t>
            </w:r>
          </w:p>
        </w:tc>
        <w:tc>
          <w:tcPr>
            <w:tcW w:type="dxa" w:w="1337"/>
          </w:tcPr>
          <w:p>
            <w:pPr>
              <w:jc w:val="right"/>
              <w:bidi w:val="1"/>
            </w:pPr>
            <w:r>
              <w:rPr>
                <w:sz w:val="16"/>
                <w:rtl w:val="1"/>
              </w:rPr>
              <w:t>نسبة الأصول الخاضعة لإدارة الهوية والوصول المميز (IAM/PAM) مع تفعيل المصادقة متعددة العوامل</w:t>
            </w:r>
          </w:p>
        </w:tc>
        <w:tc>
          <w:tcPr>
            <w:tcW w:type="dxa" w:w="1337"/>
          </w:tcPr>
          <w:p>
            <w:pPr>
              <w:jc w:val="right"/>
              <w:bidi w:val="1"/>
            </w:pPr>
            <w:r>
              <w:rPr>
                <w:sz w:val="16"/>
                <w:rtl w:val="1"/>
              </w:rPr>
              <w:t>KPI</w:t>
            </w:r>
          </w:p>
        </w:tc>
        <w:tc>
          <w:tcPr>
            <w:tcW w:type="dxa" w:w="1337"/>
          </w:tcPr>
          <w:p>
            <w:pPr>
              <w:jc w:val="right"/>
              <w:bidi w:val="1"/>
            </w:pPr>
            <w:r>
              <w:rPr>
                <w:sz w:val="16"/>
                <w:rtl w:val="1"/>
              </w:rPr>
              <w:t>100% للحسابات المميزة أو ≥95% للمستخدمين</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6</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 15 دقيقة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7</w:t>
            </w:r>
          </w:p>
        </w:tc>
        <w:tc>
          <w:tcPr>
            <w:tcW w:type="dxa" w:w="1337"/>
          </w:tcPr>
          <w:p>
            <w:pPr>
              <w:jc w:val="right"/>
              <w:bidi w:val="1"/>
            </w:pPr>
            <w:r>
              <w:rPr>
                <w:sz w:val="16"/>
                <w:rtl w:val="1"/>
              </w:rPr>
              <w:t>متوسط زمن الاستجابة للحوادث الأمنية الحرجة (MTTР)</w:t>
            </w:r>
          </w:p>
        </w:tc>
        <w:tc>
          <w:tcPr>
            <w:tcW w:type="dxa" w:w="1337"/>
          </w:tcPr>
          <w:p>
            <w:pPr>
              <w:jc w:val="right"/>
              <w:bidi w:val="1"/>
            </w:pPr>
            <w:r>
              <w:rPr>
                <w:sz w:val="16"/>
                <w:rtl w:val="1"/>
              </w:rPr>
              <w:t>KPI</w:t>
            </w:r>
          </w:p>
        </w:tc>
        <w:tc>
          <w:tcPr>
            <w:tcW w:type="dxa" w:w="1337"/>
          </w:tcPr>
          <w:p>
            <w:pPr>
              <w:jc w:val="right"/>
              <w:bidi w:val="1"/>
            </w:pPr>
            <w:r>
              <w:rPr>
                <w:sz w:val="16"/>
                <w:rtl w:val="1"/>
              </w:rPr>
              <w:t>أقل من 4 ساعات للحوادث الحرجة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8</w:t>
            </w:r>
          </w:p>
        </w:tc>
        <w:tc>
          <w:tcPr>
            <w:tcW w:type="dxa" w:w="1337"/>
          </w:tcPr>
          <w:p>
            <w:pPr>
              <w:jc w:val="right"/>
              <w:bidi w:val="1"/>
            </w:pPr>
            <w:r>
              <w:rPr>
                <w:sz w:val="16"/>
                <w:rtl w:val="1"/>
              </w:rPr>
              <w:t>معدلمعالجة الثغرات الأمنية الحرجة ضمن SLA المحدد</w:t>
            </w:r>
          </w:p>
        </w:tc>
        <w:tc>
          <w:tcPr>
            <w:tcW w:type="dxa" w:w="1337"/>
          </w:tcPr>
          <w:p>
            <w:pPr>
              <w:jc w:val="right"/>
              <w:bidi w:val="1"/>
            </w:pPr>
            <w:r>
              <w:rPr>
                <w:sz w:val="16"/>
                <w:rtl w:val="1"/>
              </w:rPr>
              <w:t>KPI</w:t>
            </w:r>
          </w:p>
        </w:tc>
        <w:tc>
          <w:tcPr>
            <w:tcW w:type="dxa" w:w="1337"/>
          </w:tcPr>
          <w:p>
            <w:pPr>
              <w:jc w:val="right"/>
              <w:bidi w:val="1"/>
            </w:pPr>
            <w:r>
              <w:rPr>
                <w:sz w:val="16"/>
                <w:rtl w:val="1"/>
              </w:rPr>
              <w:t>≥ 95% خلال 72 ساعة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9</w:t>
            </w:r>
          </w:p>
        </w:tc>
        <w:tc>
          <w:tcPr>
            <w:tcW w:type="dxa" w:w="1337"/>
          </w:tcPr>
          <w:p>
            <w:pPr>
              <w:jc w:val="right"/>
              <w:bidi w:val="1"/>
            </w:pPr>
            <w:r>
              <w:rPr>
                <w:sz w:val="16"/>
                <w:rtl w:val="1"/>
              </w:rPr>
              <w:t>معدل فشل اختبارات التصيد الاحتيالي</w:t>
            </w:r>
          </w:p>
        </w:tc>
        <w:tc>
          <w:tcPr>
            <w:tcW w:type="dxa" w:w="1337"/>
          </w:tcPr>
          <w:p>
            <w:pPr>
              <w:jc w:val="right"/>
              <w:bidi w:val="1"/>
            </w:pPr>
            <w:r>
              <w:rPr>
                <w:sz w:val="16"/>
                <w:rtl w:val="1"/>
              </w:rPr>
              <w:t>KRI</w:t>
            </w:r>
          </w:p>
        </w:tc>
        <w:tc>
          <w:tcPr>
            <w:tcW w:type="dxa" w:w="1337"/>
          </w:tcPr>
          <w:p>
            <w:pPr>
              <w:jc w:val="right"/>
              <w:bidi w:val="1"/>
            </w:pPr>
            <w:r>
              <w:rPr>
                <w:sz w:val="16"/>
                <w:rtl w:val="1"/>
              </w:rPr>
              <w:t>أقل من 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10</w:t>
            </w:r>
          </w:p>
        </w:tc>
        <w:tc>
          <w:tcPr>
            <w:tcW w:type="dxa" w:w="1337"/>
          </w:tcPr>
          <w:p>
            <w:pPr>
              <w:jc w:val="right"/>
              <w:bidi w:val="1"/>
            </w:pPr>
            <w:r>
              <w:rPr>
                <w:sz w:val="16"/>
                <w:rtl w:val="1"/>
              </w:rPr>
              <w:t>نسبة اكتمال اختبارات النسخ الاحتياطي وخطط التعافي من الكوارث</w:t>
            </w:r>
          </w:p>
        </w:tc>
        <w:tc>
          <w:tcPr>
            <w:tcW w:type="dxa" w:w="1337"/>
          </w:tcPr>
          <w:p>
            <w:pPr>
              <w:jc w:val="right"/>
              <w:bidi w:val="1"/>
            </w:pPr>
            <w:r>
              <w:rPr>
                <w:sz w:val="16"/>
                <w:rtl w:val="1"/>
              </w:rPr>
              <w:t>KPI</w:t>
            </w:r>
          </w:p>
        </w:tc>
        <w:tc>
          <w:tcPr>
            <w:tcW w:type="dxa" w:w="1337"/>
          </w:tcPr>
          <w:p>
            <w:pPr>
              <w:jc w:val="right"/>
              <w:bidi w:val="1"/>
            </w:pPr>
            <w:r>
              <w:rPr>
                <w:sz w:val="16"/>
                <w:rtl w:val="1"/>
              </w:rPr>
              <w:t>≥99%</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11</w:t>
            </w:r>
          </w:p>
        </w:tc>
        <w:tc>
          <w:tcPr>
            <w:tcW w:type="dxa" w:w="1337"/>
          </w:tcPr>
          <w:p>
            <w:pPr>
              <w:jc w:val="right"/>
              <w:bidi w:val="1"/>
            </w:pPr>
            <w:r>
              <w:rPr>
                <w:sz w:val="16"/>
                <w:rtl w:val="1"/>
              </w:rPr>
              <w:t>نسبة تغطية تصنيف البيانات الحساسة</w:t>
            </w:r>
          </w:p>
        </w:tc>
        <w:tc>
          <w:tcPr>
            <w:tcW w:type="dxa" w:w="1337"/>
          </w:tcPr>
          <w:p>
            <w:pPr>
              <w:jc w:val="right"/>
              <w:bidi w:val="1"/>
            </w:pPr>
            <w:r>
              <w:rPr>
                <w:sz w:val="16"/>
                <w:rtl w:val="1"/>
              </w:rPr>
              <w:t>KRI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12</w:t>
            </w:r>
          </w:p>
        </w:tc>
        <w:tc>
          <w:tcPr>
            <w:tcW w:type="dxa" w:w="1337"/>
          </w:tcPr>
          <w:p>
            <w:pPr>
              <w:jc w:val="right"/>
              <w:bidi w:val="1"/>
            </w:pPr>
            <w:r>
              <w:rPr>
                <w:sz w:val="16"/>
                <w:rtl w:val="1"/>
              </w:rPr>
              <w:t>نسبة تغطية تشفير البيانات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13</w:t>
            </w:r>
          </w:p>
        </w:tc>
        <w:tc>
          <w:tcPr>
            <w:tcW w:type="dxa" w:w="1337"/>
          </w:tcPr>
          <w:p>
            <w:pPr>
              <w:jc w:val="right"/>
              <w:bidi w:val="1"/>
            </w:pPr>
            <w:r>
              <w:rPr>
                <w:sz w:val="16"/>
                <w:rtl w:val="1"/>
              </w:rPr>
              <w:t>نسبة تغطية DLP للبيانات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bl>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صيغة الاحتساب</w:t>
            </w:r>
          </w:p>
        </w:tc>
        <w:tc>
          <w:tcPr>
            <w:tcW w:type="dxa" w:w="2340"/>
            <w:shd w:val="clear" w:color="auto" w:fill="1D2B4F"/>
          </w:tcPr>
          <w:p>
            <w:pPr>
              <w:jc w:val="right"/>
              <w:bidi w:val="1"/>
            </w:pPr>
            <w:r>
              <w:rPr>
                <w:b/>
                <w:color w:val="FFFFFF"/>
                <w:sz w:val="18"/>
                <w:rtl w:val="1"/>
              </w:rPr>
              <w:t>مصدر البيانات</w:t>
            </w:r>
          </w:p>
        </w:tc>
      </w:tr>
      <w:tr>
        <w:tc>
          <w:tcPr>
            <w:tcW w:type="dxa" w:w="2340"/>
          </w:tcPr>
          <w:p>
            <w:pPr>
              <w:jc w:val="right"/>
              <w:bidi w:val="1"/>
            </w:pPr>
            <w:r>
              <w:rPr>
                <w:sz w:val="16"/>
                <w:rtl w:val="1"/>
              </w:rPr>
              <w:t>1</w:t>
            </w:r>
          </w:p>
        </w:tc>
        <w:tc>
          <w:tcPr>
            <w:tcW w:type="dxa" w:w="2340"/>
          </w:tcPr>
          <w:p>
            <w:pPr>
              <w:jc w:val="right"/>
              <w:bidi w:val="1"/>
            </w:pPr>
            <w:r>
              <w:rPr>
                <w:sz w:val="16"/>
                <w:rtl w:val="1"/>
              </w:rPr>
              <w:t>درجة مخاطر الأطراف الثالثة</w:t>
            </w:r>
          </w:p>
        </w:tc>
        <w:tc>
          <w:tcPr>
            <w:tcW w:type="dxa" w:w="2340"/>
          </w:tcPr>
          <w:p>
            <w:pPr>
              <w:jc w:val="right"/>
              <w:bidi w:val="1"/>
            </w:pPr>
            <w:r>
              <w:rPr>
                <w:sz w:val="16"/>
                <w:rtl w:val="1"/>
              </w:rPr>
              <w:t>متوسط درجة مخاطر الموردين السيبرانية المقيمة</w:t>
            </w:r>
          </w:p>
        </w:tc>
        <w:tc>
          <w:tcPr>
            <w:tcW w:type="dxa" w:w="2340"/>
          </w:tcPr>
          <w:p>
            <w:pPr>
              <w:jc w:val="right"/>
              <w:bidi w:val="1"/>
            </w:pPr>
            <w:r>
              <w:rPr>
                <w:sz w:val="16"/>
                <w:rtl w:val="1"/>
              </w:rPr>
              <w:t>منصة إدارة الموردين</w:t>
            </w:r>
          </w:p>
        </w:tc>
      </w:tr>
      <w:tr>
        <w:tc>
          <w:tcPr>
            <w:tcW w:type="dxa" w:w="2340"/>
          </w:tcPr>
          <w:p>
            <w:pPr>
              <w:jc w:val="right"/>
              <w:bidi w:val="1"/>
            </w:pPr>
            <w:r>
              <w:rPr>
                <w:sz w:val="16"/>
                <w:rtl w:val="1"/>
              </w:rPr>
              <w:t>2</w:t>
            </w:r>
          </w:p>
        </w:tc>
        <w:tc>
          <w:tcPr>
            <w:tcW w:type="dxa" w:w="2340"/>
          </w:tcPr>
          <w:p>
            <w:pPr>
              <w:jc w:val="right"/>
              <w:bidi w:val="1"/>
            </w:pPr>
            <w:r>
              <w:rPr>
                <w:sz w:val="16"/>
                <w:rtl w:val="1"/>
              </w:rPr>
              <w:t>عدد حوادث تسرب البيانات الحرجة</w:t>
            </w:r>
          </w:p>
        </w:tc>
        <w:tc>
          <w:tcPr>
            <w:tcW w:type="dxa" w:w="2340"/>
          </w:tcPr>
          <w:p>
            <w:pPr>
              <w:jc w:val="right"/>
              <w:bidi w:val="1"/>
            </w:pPr>
            <w:r>
              <w:rPr>
                <w:sz w:val="16"/>
                <w:rtl w:val="1"/>
              </w:rPr>
              <w:t>عدد حوادث تسرب البيانات الحرجة خلال الفترة</w:t>
            </w:r>
          </w:p>
        </w:tc>
        <w:tc>
          <w:tcPr>
            <w:tcW w:type="dxa" w:w="2340"/>
          </w:tcPr>
          <w:p>
            <w:pPr>
              <w:jc w:val="right"/>
              <w:bidi w:val="1"/>
            </w:pPr>
            <w:r>
              <w:rPr>
                <w:sz w:val="16"/>
                <w:rtl w:val="1"/>
              </w:rPr>
              <w:t>منصة DLP / SIEM</w:t>
            </w:r>
          </w:p>
        </w:tc>
      </w:tr>
      <w:tr>
        <w:tc>
          <w:tcPr>
            <w:tcW w:type="dxa" w:w="2340"/>
          </w:tcPr>
          <w:p>
            <w:pPr>
              <w:jc w:val="right"/>
              <w:bidi w:val="1"/>
            </w:pPr>
            <w:r>
              <w:rPr>
                <w:sz w:val="16"/>
                <w:rtl w:val="1"/>
              </w:rPr>
              <w:t>3</w:t>
            </w:r>
          </w:p>
        </w:tc>
        <w:tc>
          <w:tcPr>
            <w:tcW w:type="dxa" w:w="2340"/>
          </w:tcPr>
          <w:p>
            <w:pPr>
              <w:jc w:val="right"/>
              <w:bidi w:val="1"/>
            </w:pPr>
            <w:r>
              <w:rPr>
                <w:sz w:val="16"/>
                <w:rtl w:val="1"/>
              </w:rPr>
              <w:t>نسبة امتثال ضوابط حوكمة الأمن السيبراني (ECC)</w:t>
            </w:r>
          </w:p>
        </w:tc>
        <w:tc>
          <w:tcPr>
            <w:tcW w:type="dxa" w:w="2340"/>
          </w:tcPr>
          <w:p>
            <w:pPr>
              <w:jc w:val="right"/>
              <w:bidi w:val="1"/>
            </w:pPr>
            <w:r>
              <w:rPr>
                <w:sz w:val="16"/>
                <w:rtl w:val="1"/>
              </w:rPr>
              <w:t>(عدد الضوابط المحققة ÷ إجمالي الضوابط المستهدفة) × 100</w:t>
            </w:r>
          </w:p>
        </w:tc>
        <w:tc>
          <w:tcPr>
            <w:tcW w:type="dxa" w:w="2340"/>
          </w:tcPr>
          <w:p>
            <w:pPr>
              <w:jc w:val="right"/>
              <w:bidi w:val="1"/>
            </w:pPr>
            <w:r>
              <w:rPr>
                <w:sz w:val="16"/>
                <w:rtl w:val="1"/>
              </w:rPr>
              <w:t>منصة الحوكمة وقياس الامتثال</w:t>
            </w:r>
          </w:p>
        </w:tc>
      </w:tr>
      <w:tr>
        <w:tc>
          <w:tcPr>
            <w:tcW w:type="dxa" w:w="2340"/>
          </w:tcPr>
          <w:p>
            <w:pPr>
              <w:jc w:val="right"/>
              <w:bidi w:val="1"/>
            </w:pPr>
            <w:r>
              <w:rPr>
                <w:sz w:val="16"/>
                <w:rtl w:val="1"/>
              </w:rPr>
              <w:t>4</w:t>
            </w:r>
          </w:p>
        </w:tc>
        <w:tc>
          <w:tcPr>
            <w:tcW w:type="dxa" w:w="2340"/>
          </w:tcPr>
          <w:p>
            <w:pPr>
              <w:jc w:val="right"/>
              <w:bidi w:val="1"/>
            </w:pPr>
            <w:r>
              <w:rPr>
                <w:sz w:val="16"/>
                <w:rtl w:val="1"/>
              </w:rPr>
              <w:t>عدد حوادث تسرب البيانات الحرجة</w:t>
            </w:r>
          </w:p>
        </w:tc>
        <w:tc>
          <w:tcPr>
            <w:tcW w:type="dxa" w:w="2340"/>
          </w:tcPr>
          <w:p>
            <w:pPr>
              <w:jc w:val="right"/>
              <w:bidi w:val="1"/>
            </w:pPr>
            <w:r>
              <w:rPr>
                <w:sz w:val="16"/>
                <w:rtl w:val="1"/>
              </w:rPr>
              <w:t>عدد حوادث تسرب البيانات الحرجة خلال الفترة</w:t>
            </w:r>
          </w:p>
        </w:tc>
        <w:tc>
          <w:tcPr>
            <w:tcW w:type="dxa" w:w="2340"/>
          </w:tcPr>
          <w:p>
            <w:pPr>
              <w:jc w:val="right"/>
              <w:bidi w:val="1"/>
            </w:pPr>
            <w:r>
              <w:rPr>
                <w:sz w:val="16"/>
                <w:rtl w:val="1"/>
              </w:rPr>
              <w:t>منصة DLP / SIEM</w:t>
            </w:r>
          </w:p>
        </w:tc>
      </w:tr>
      <w:tr>
        <w:tc>
          <w:tcPr>
            <w:tcW w:type="dxa" w:w="2340"/>
          </w:tcPr>
          <w:p>
            <w:pPr>
              <w:jc w:val="right"/>
              <w:bidi w:val="1"/>
            </w:pPr>
            <w:r>
              <w:rPr>
                <w:sz w:val="16"/>
                <w:rtl w:val="1"/>
              </w:rPr>
              <w:t>5</w:t>
            </w:r>
          </w:p>
        </w:tc>
        <w:tc>
          <w:tcPr>
            <w:tcW w:type="dxa" w:w="2340"/>
          </w:tcPr>
          <w:p>
            <w:pPr>
              <w:jc w:val="right"/>
              <w:bidi w:val="1"/>
            </w:pPr>
            <w:r>
              <w:rPr>
                <w:sz w:val="16"/>
                <w:rtl w:val="1"/>
              </w:rPr>
              <w:t>نسبة الأصول الخاضعة لإدارة الهوية والوصول المميز (IAM/PAM) مع تفعيل المصادقة متعددة العوامل</w:t>
            </w:r>
          </w:p>
        </w:tc>
        <w:tc>
          <w:tcPr>
            <w:tcW w:type="dxa" w:w="2340"/>
          </w:tcPr>
          <w:p>
            <w:pPr>
              <w:jc w:val="right"/>
              <w:bidi w:val="1"/>
            </w:pPr>
            <w:r>
              <w:rPr>
                <w:sz w:val="16"/>
                <w:rtl w:val="1"/>
              </w:rPr>
              <w:t>(عدد الحسابات أو الأنظمة المغطاة بضوابط IAM/PAM ÷ إجمالي الحسابات أو الأنظمة المستهدفة) × 100</w:t>
            </w:r>
          </w:p>
        </w:tc>
        <w:tc>
          <w:tcPr>
            <w:tcW w:type="dxa" w:w="2340"/>
          </w:tcPr>
          <w:p>
            <w:pPr>
              <w:jc w:val="right"/>
              <w:bidi w:val="1"/>
            </w:pPr>
            <w:r>
              <w:rPr>
                <w:sz w:val="16"/>
                <w:rtl w:val="1"/>
              </w:rPr>
              <w:t>منصة إدارة الهويات IAM / PAM</w:t>
            </w:r>
          </w:p>
        </w:tc>
      </w:tr>
      <w:tr>
        <w:tc>
          <w:tcPr>
            <w:tcW w:type="dxa" w:w="2340"/>
          </w:tcPr>
          <w:p>
            <w:pPr>
              <w:jc w:val="right"/>
              <w:bidi w:val="1"/>
            </w:pPr>
            <w:r>
              <w:rPr>
                <w:sz w:val="16"/>
                <w:rtl w:val="1"/>
              </w:rPr>
              <w:t>6</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7</w:t>
            </w:r>
          </w:p>
        </w:tc>
        <w:tc>
          <w:tcPr>
            <w:tcW w:type="dxa" w:w="2340"/>
          </w:tcPr>
          <w:p>
            <w:pPr>
              <w:jc w:val="right"/>
              <w:bidi w:val="1"/>
            </w:pPr>
            <w:r>
              <w:rPr>
                <w:sz w:val="16"/>
                <w:rtl w:val="1"/>
              </w:rPr>
              <w:t>متوسط زمن الاستجابة للحوادث الأمنية الحرجة (MTTР)</w:t>
            </w:r>
          </w:p>
        </w:tc>
        <w:tc>
          <w:tcPr>
            <w:tcW w:type="dxa" w:w="2340"/>
          </w:tcPr>
          <w:p>
            <w:pPr>
              <w:jc w:val="right"/>
              <w:bidi w:val="1"/>
            </w:pPr>
            <w:r>
              <w:rPr>
                <w:sz w:val="16"/>
                <w:rtl w:val="1"/>
              </w:rPr>
              <w:t>مجموع أزمنة الاستجابة للحوادث الحرجة / عدد الحوادث الحرجة</w:t>
            </w:r>
          </w:p>
        </w:tc>
        <w:tc>
          <w:tcPr>
            <w:tcW w:type="dxa" w:w="2340"/>
          </w:tcPr>
          <w:p>
            <w:pPr>
              <w:jc w:val="right"/>
              <w:bidi w:val="1"/>
            </w:pPr>
            <w:r>
              <w:rPr>
                <w:sz w:val="16"/>
                <w:rtl w:val="1"/>
              </w:rPr>
              <w:t>ITSM / SOAR / SIEM</w:t>
            </w:r>
          </w:p>
        </w:tc>
      </w:tr>
      <w:tr>
        <w:tc>
          <w:tcPr>
            <w:tcW w:type="dxa" w:w="2340"/>
          </w:tcPr>
          <w:p>
            <w:pPr>
              <w:jc w:val="right"/>
              <w:bidi w:val="1"/>
            </w:pPr>
            <w:r>
              <w:rPr>
                <w:sz w:val="16"/>
                <w:rtl w:val="1"/>
              </w:rPr>
              <w:t>8</w:t>
            </w:r>
          </w:p>
        </w:tc>
        <w:tc>
          <w:tcPr>
            <w:tcW w:type="dxa" w:w="2340"/>
          </w:tcPr>
          <w:p>
            <w:pPr>
              <w:jc w:val="right"/>
              <w:bidi w:val="1"/>
            </w:pPr>
            <w:r>
              <w:rPr>
                <w:sz w:val="16"/>
                <w:rtl w:val="1"/>
              </w:rPr>
              <w:t>معدلمعالجة الثغرات الأمنية الحرجة ضمن SLA المحدد</w:t>
            </w:r>
          </w:p>
        </w:tc>
        <w:tc>
          <w:tcPr>
            <w:tcW w:type="dxa" w:w="2340"/>
          </w:tcPr>
          <w:p>
            <w:pPr>
              <w:jc w:val="right"/>
              <w:bidi w:val="1"/>
            </w:pPr>
            <w:r>
              <w:rPr>
                <w:sz w:val="16"/>
                <w:rtl w:val="1"/>
              </w:rPr>
              <w:t>(عدد الثغرات الحرجة المغلقة ضمن SLA ÷ إجمالي الثغرات الحرجة) × 100</w:t>
            </w:r>
          </w:p>
        </w:tc>
        <w:tc>
          <w:tcPr>
            <w:tcW w:type="dxa" w:w="2340"/>
          </w:tcPr>
          <w:p>
            <w:pPr>
              <w:jc w:val="right"/>
              <w:bidi w:val="1"/>
            </w:pPr>
            <w:r>
              <w:rPr>
                <w:sz w:val="16"/>
                <w:rtl w:val="1"/>
              </w:rPr>
              <w:t>منصة إدارة الثغرات</w:t>
            </w:r>
          </w:p>
        </w:tc>
      </w:tr>
      <w:tr>
        <w:tc>
          <w:tcPr>
            <w:tcW w:type="dxa" w:w="2340"/>
          </w:tcPr>
          <w:p>
            <w:pPr>
              <w:jc w:val="right"/>
              <w:bidi w:val="1"/>
            </w:pPr>
            <w:r>
              <w:rPr>
                <w:sz w:val="16"/>
                <w:rtl w:val="1"/>
              </w:rPr>
              <w:t>9</w:t>
            </w:r>
          </w:p>
        </w:tc>
        <w:tc>
          <w:tcPr>
            <w:tcW w:type="dxa" w:w="2340"/>
          </w:tcPr>
          <w:p>
            <w:pPr>
              <w:jc w:val="right"/>
              <w:bidi w:val="1"/>
            </w:pPr>
            <w:r>
              <w:rPr>
                <w:sz w:val="16"/>
                <w:rtl w:val="1"/>
              </w:rPr>
              <w:t>معدل فشل اختبارات التصيد الاحتيالي</w:t>
            </w:r>
          </w:p>
        </w:tc>
        <w:tc>
          <w:tcPr>
            <w:tcW w:type="dxa" w:w="2340"/>
          </w:tcPr>
          <w:p>
            <w:pPr>
              <w:jc w:val="right"/>
              <w:bidi w:val="1"/>
            </w:pPr>
            <w:r>
              <w:rPr>
                <w:sz w:val="16"/>
                <w:rtl w:val="1"/>
              </w:rPr>
              <w:t>(عدد الموظفين الذين فشلوا في اختبار التصيد ÷ إجمالي الموظفين المختبَرين) × 100</w:t>
            </w:r>
          </w:p>
        </w:tc>
        <w:tc>
          <w:tcPr>
            <w:tcW w:type="dxa" w:w="2340"/>
          </w:tcPr>
          <w:p>
            <w:pPr>
              <w:jc w:val="right"/>
              <w:bidi w:val="1"/>
            </w:pPr>
            <w:r>
              <w:rPr>
                <w:sz w:val="16"/>
                <w:rtl w:val="1"/>
              </w:rPr>
              <w:t>منصة محاكاة التصيد</w:t>
            </w:r>
          </w:p>
        </w:tc>
      </w:tr>
      <w:tr>
        <w:tc>
          <w:tcPr>
            <w:tcW w:type="dxa" w:w="2340"/>
          </w:tcPr>
          <w:p>
            <w:pPr>
              <w:jc w:val="right"/>
              <w:bidi w:val="1"/>
            </w:pPr>
            <w:r>
              <w:rPr>
                <w:sz w:val="16"/>
                <w:rtl w:val="1"/>
              </w:rPr>
              <w:t>10</w:t>
            </w:r>
          </w:p>
        </w:tc>
        <w:tc>
          <w:tcPr>
            <w:tcW w:type="dxa" w:w="2340"/>
          </w:tcPr>
          <w:p>
            <w:pPr>
              <w:jc w:val="right"/>
              <w:bidi w:val="1"/>
            </w:pPr>
            <w:r>
              <w:rPr>
                <w:sz w:val="16"/>
                <w:rtl w:val="1"/>
              </w:rPr>
              <w:t>نسبة اكتمال اختبارات النسخ الاحتياطي وخطط التعافي من الكوارث</w:t>
            </w:r>
          </w:p>
        </w:tc>
        <w:tc>
          <w:tcPr>
            <w:tcW w:type="dxa" w:w="2340"/>
          </w:tcPr>
          <w:p>
            <w:pPr>
              <w:jc w:val="right"/>
              <w:bidi w:val="1"/>
            </w:pPr>
            <w:r>
              <w:rPr>
                <w:sz w:val="16"/>
                <w:rtl w:val="1"/>
              </w:rPr>
              <w:t>(عدد عمليات النسخ الناجحة ÷ إجمالي عمليات النسخ) × 100</w:t>
            </w:r>
          </w:p>
        </w:tc>
        <w:tc>
          <w:tcPr>
            <w:tcW w:type="dxa" w:w="2340"/>
          </w:tcPr>
          <w:p>
            <w:pPr>
              <w:jc w:val="right"/>
              <w:bidi w:val="1"/>
            </w:pPr>
            <w:r>
              <w:rPr>
                <w:sz w:val="16"/>
                <w:rtl w:val="1"/>
              </w:rPr>
              <w:t>منصة النسخ الاحتياطي</w:t>
            </w:r>
          </w:p>
        </w:tc>
      </w:tr>
      <w:tr>
        <w:tc>
          <w:tcPr>
            <w:tcW w:type="dxa" w:w="2340"/>
          </w:tcPr>
          <w:p>
            <w:pPr>
              <w:jc w:val="right"/>
              <w:bidi w:val="1"/>
            </w:pPr>
            <w:r>
              <w:rPr>
                <w:sz w:val="16"/>
                <w:rtl w:val="1"/>
              </w:rPr>
              <w:t>11</w:t>
            </w:r>
          </w:p>
        </w:tc>
        <w:tc>
          <w:tcPr>
            <w:tcW w:type="dxa" w:w="2340"/>
          </w:tcPr>
          <w:p>
            <w:pPr>
              <w:jc w:val="right"/>
              <w:bidi w:val="1"/>
            </w:pPr>
            <w:r>
              <w:rPr>
                <w:sz w:val="16"/>
                <w:rtl w:val="1"/>
              </w:rPr>
              <w:t>نسبة تغطية تصنيف البيانات الحساسة</w:t>
            </w:r>
          </w:p>
        </w:tc>
        <w:tc>
          <w:tcPr>
            <w:tcW w:type="dxa" w:w="2340"/>
          </w:tcPr>
          <w:p>
            <w:pPr>
              <w:jc w:val="right"/>
              <w:bidi w:val="1"/>
            </w:pPr>
            <w:r>
              <w:rPr>
                <w:sz w:val="16"/>
                <w:rtl w:val="1"/>
              </w:rPr>
              <w:t>بيانات مصنفة / إجمالي البيانات الحساسة × 100</w:t>
            </w:r>
          </w:p>
        </w:tc>
        <w:tc>
          <w:tcPr>
            <w:tcW w:type="dxa" w:w="2340"/>
          </w:tcPr>
          <w:p>
            <w:pPr>
              <w:jc w:val="right"/>
              <w:bidi w:val="1"/>
            </w:pPr>
            <w:r>
              <w:rPr>
                <w:sz w:val="16"/>
                <w:rtl w:val="1"/>
              </w:rPr>
              <w:t>سجل التصنيف</w:t>
            </w:r>
          </w:p>
        </w:tc>
      </w:tr>
      <w:tr>
        <w:tc>
          <w:tcPr>
            <w:tcW w:type="dxa" w:w="2340"/>
          </w:tcPr>
          <w:p>
            <w:pPr>
              <w:jc w:val="right"/>
              <w:bidi w:val="1"/>
            </w:pPr>
            <w:r>
              <w:rPr>
                <w:sz w:val="16"/>
                <w:rtl w:val="1"/>
              </w:rPr>
              <w:t>12</w:t>
            </w:r>
          </w:p>
        </w:tc>
        <w:tc>
          <w:tcPr>
            <w:tcW w:type="dxa" w:w="2340"/>
          </w:tcPr>
          <w:p>
            <w:pPr>
              <w:jc w:val="right"/>
              <w:bidi w:val="1"/>
            </w:pPr>
            <w:r>
              <w:rPr>
                <w:sz w:val="16"/>
                <w:rtl w:val="1"/>
              </w:rPr>
              <w:t>نسبة تغطية تشفير البيانات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13</w:t>
            </w:r>
          </w:p>
        </w:tc>
        <w:tc>
          <w:tcPr>
            <w:tcW w:type="dxa" w:w="2340"/>
          </w:tcPr>
          <w:p>
            <w:pPr>
              <w:jc w:val="right"/>
              <w:bidi w:val="1"/>
            </w:pPr>
            <w:r>
              <w:rPr>
                <w:sz w:val="16"/>
                <w:rtl w:val="1"/>
              </w:rPr>
              <w:t>نسبة تغطية DLP للبيانات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bl>
    <w:p/>
    <w:p>
      <w:r>
        <w:br w:type="page"/>
      </w:r>
    </w:p>
    <w:p>
      <w:pPr>
        <w:spacing w:before="160" w:after="40"/>
        <w:jc w:val="right"/>
        <w:bidi w:val="1"/>
      </w:pPr>
      <w:r>
        <w:rPr>
          <w:b/>
          <w:color w:val="1D2B4F"/>
          <w:sz w:val="28"/>
          <w:rtl w:val="1"/>
        </w:rPr>
        <w:t>تقييم الثقة والمخاطر</w:t>
      </w:r>
    </w:p>
    <w:p>
      <w:pPr>
        <w:pBdr>
          <w:bottom w:val="single" w:sz="12" w:space="2" w:color="D04A02"/>
        </w:pBdr>
        <w:spacing w:after="160"/>
      </w:pPr>
    </w:p>
    <w:p>
      <w:pPr>
        <w:spacing w:after="120"/>
        <w:jc w:val="right"/>
        <w:bidi w:val="1"/>
      </w:pPr>
      <w:r>
        <w:rPr>
          <w:sz w:val="20"/>
          <w:rtl w:val="1"/>
        </w:rPr>
        <w:t>درجة الثقة: 76%</w:t>
      </w:r>
    </w:p>
    <w:p>
      <w:pPr>
        <w:spacing w:after="120"/>
        <w:jc w:val="right"/>
        <w:bidi w:val="1"/>
      </w:pPr>
      <w:r>
        <w:rPr>
          <w:sz w:val="20"/>
          <w:rtl w:val="1"/>
        </w:rPr>
        <w:t>تعمل المنظمة على مستوى نضج ابتدائي (Initial) مما يعني غياب السياسات الرسمية والضوابط التشغيلية الموثقة وفق متطلبات NCA ECC و NCA DCC، مع انعدام آليات القياس والمراجعة الدورية للامتثال. الفجوات الجوهرية تشمل ضعف إدارة الهوية والوصول، وغياب عمليات مركز العمليات الأمنية (SOC) المنظمة، وانعدام برنامج إدارة الثغرات الأمنية الاستباقي، وهو ما يُقيّد قدرة المنظمة على الكشف عن التهديدات والاستجابة لها بفاعلية.</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العامل</w:t>
            </w:r>
          </w:p>
        </w:tc>
        <w:tc>
          <w:tcPr>
            <w:tcW w:type="dxa" w:w="2340"/>
            <w:shd w:val="clear" w:color="auto" w:fill="1D2B4F"/>
          </w:tcPr>
          <w:p>
            <w:pPr>
              <w:jc w:val="right"/>
              <w:bidi w:val="1"/>
            </w:pPr>
            <w:r>
              <w:rPr>
                <w:b/>
                <w:color w:val="FFFFFF"/>
                <w:sz w:val="18"/>
                <w:rtl w:val="1"/>
              </w:rPr>
              <w:t>الوزن</w:t>
            </w:r>
          </w:p>
        </w:tc>
        <w:tc>
          <w:tcPr>
            <w:tcW w:type="dxa" w:w="2340"/>
            <w:shd w:val="clear" w:color="auto" w:fill="1D2B4F"/>
          </w:tcPr>
          <w:p>
            <w:pPr>
              <w:jc w:val="right"/>
              <w:bidi w:val="1"/>
            </w:pPr>
            <w:r>
              <w:rPr>
                <w:b/>
                <w:color w:val="FFFFFF"/>
                <w:sz w:val="18"/>
                <w:rtl w:val="1"/>
              </w:rPr>
              <w:t>الدرجة</w:t>
            </w:r>
          </w:p>
        </w:tc>
        <w:tc>
          <w:tcPr>
            <w:tcW w:type="dxa" w:w="2340"/>
            <w:shd w:val="clear" w:color="auto" w:fill="1D2B4F"/>
          </w:tcPr>
          <w:p>
            <w:pPr>
              <w:jc w:val="right"/>
              <w:bidi w:val="1"/>
            </w:pPr>
            <w:r>
              <w:rPr>
                <w:b/>
                <w:color w:val="FFFFFF"/>
                <w:sz w:val="18"/>
                <w:rtl w:val="1"/>
              </w:rPr>
              <w:t>المساهمة</w:t>
            </w:r>
          </w:p>
        </w:tc>
      </w:tr>
      <w:tr>
        <w:tc>
          <w:tcPr>
            <w:tcW w:type="dxa" w:w="2340"/>
          </w:tcPr>
          <w:p>
            <w:pPr>
              <w:jc w:val="right"/>
              <w:bidi w:val="1"/>
            </w:pPr>
            <w:r>
              <w:rPr>
                <w:sz w:val="16"/>
                <w:rtl w:val="1"/>
              </w:rPr>
              <w:t>اكتمال المدخلات</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15.2%</w:t>
            </w:r>
          </w:p>
        </w:tc>
      </w:tr>
      <w:tr>
        <w:tc>
          <w:tcPr>
            <w:tcW w:type="dxa" w:w="2340"/>
          </w:tcPr>
          <w:p>
            <w:pPr>
              <w:jc w:val="right"/>
              <w:bidi w:val="1"/>
            </w:pPr>
            <w:r>
              <w:rPr>
                <w:sz w:val="16"/>
                <w:rtl w:val="1"/>
              </w:rPr>
              <w:t>تغطية الأطر المرجعية</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15.2%</w:t>
            </w:r>
          </w:p>
        </w:tc>
      </w:tr>
      <w:tr>
        <w:tc>
          <w:tcPr>
            <w:tcW w:type="dxa" w:w="2340"/>
          </w:tcPr>
          <w:p>
            <w:pPr>
              <w:jc w:val="right"/>
              <w:bidi w:val="1"/>
            </w:pPr>
            <w:r>
              <w:rPr>
                <w:sz w:val="16"/>
                <w:rtl w:val="1"/>
              </w:rPr>
              <w:t>جدوى خارطة الطريق</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15.2%</w:t>
            </w:r>
          </w:p>
        </w:tc>
      </w:tr>
      <w:tr>
        <w:tc>
          <w:tcPr>
            <w:tcW w:type="dxa" w:w="2340"/>
          </w:tcPr>
          <w:p>
            <w:pPr>
              <w:jc w:val="right"/>
              <w:bidi w:val="1"/>
            </w:pPr>
            <w:r>
              <w:rPr>
                <w:sz w:val="16"/>
                <w:rtl w:val="1"/>
              </w:rPr>
              <w:t>جاهزية الموارد</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11.4%</w:t>
            </w:r>
          </w:p>
        </w:tc>
      </w:tr>
      <w:tr>
        <w:tc>
          <w:tcPr>
            <w:tcW w:type="dxa" w:w="2340"/>
          </w:tcPr>
          <w:p>
            <w:pPr>
              <w:jc w:val="right"/>
              <w:bidi w:val="1"/>
            </w:pPr>
            <w:r>
              <w:rPr>
                <w:sz w:val="16"/>
                <w:rtl w:val="1"/>
              </w:rPr>
              <w:t>نضج الحوكمة</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11.4%</w:t>
            </w:r>
          </w:p>
        </w:tc>
      </w:tr>
      <w:tr>
        <w:tc>
          <w:tcPr>
            <w:tcW w:type="dxa" w:w="2340"/>
          </w:tcPr>
          <w:p>
            <w:pPr>
              <w:jc w:val="right"/>
              <w:bidi w:val="1"/>
            </w:pPr>
            <w:r>
              <w:rPr>
                <w:sz w:val="16"/>
                <w:rtl w:val="1"/>
              </w:rPr>
              <w:t>جاهزية حماية البيانات</w:t>
            </w:r>
          </w:p>
        </w:tc>
        <w:tc>
          <w:tcPr>
            <w:tcW w:type="dxa" w:w="2340"/>
          </w:tcPr>
          <w:p>
            <w:pPr>
              <w:jc w:val="right"/>
              <w:bidi w:val="1"/>
            </w:pPr>
            <w:r>
              <w:rPr>
                <w:sz w:val="16"/>
                <w:rtl w:val="1"/>
              </w:rPr>
              <w:t>10%</w:t>
            </w:r>
          </w:p>
        </w:tc>
        <w:tc>
          <w:tcPr>
            <w:tcW w:type="dxa" w:w="2340"/>
          </w:tcPr>
          <w:p>
            <w:pPr>
              <w:jc w:val="right"/>
              <w:bidi w:val="1"/>
            </w:pPr>
            <w:r>
              <w:rPr>
                <w:sz w:val="16"/>
                <w:rtl w:val="1"/>
              </w:rPr>
              <w:t>4</w:t>
            </w:r>
          </w:p>
        </w:tc>
        <w:tc>
          <w:tcPr>
            <w:tcW w:type="dxa" w:w="2340"/>
          </w:tcPr>
          <w:p>
            <w:pPr>
              <w:jc w:val="right"/>
              <w:bidi w:val="1"/>
            </w:pPr>
            <w:r>
              <w:rPr>
                <w:sz w:val="16"/>
                <w:rtl w:val="1"/>
              </w:rPr>
              <w:t>7.6%</w:t>
            </w:r>
          </w:p>
        </w:tc>
      </w:tr>
    </w:tbl>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w:t>
            </w:r>
          </w:p>
        </w:tc>
        <w:tc>
          <w:tcPr>
            <w:tcW w:type="dxa" w:w="1560"/>
            <w:shd w:val="clear" w:color="auto" w:fill="1D2B4F"/>
          </w:tcPr>
          <w:p>
            <w:pPr>
              <w:jc w:val="right"/>
              <w:bidi w:val="1"/>
            </w:pPr>
            <w:r>
              <w:rPr>
                <w:b/>
                <w:color w:val="FFFFFF"/>
                <w:sz w:val="18"/>
                <w:rtl w:val="1"/>
              </w:rPr>
              <w:t>المخاطر</w:t>
            </w:r>
          </w:p>
        </w:tc>
        <w:tc>
          <w:tcPr>
            <w:tcW w:type="dxa" w:w="1560"/>
            <w:shd w:val="clear" w:color="auto" w:fill="1D2B4F"/>
          </w:tcPr>
          <w:p>
            <w:pPr>
              <w:jc w:val="right"/>
              <w:bidi w:val="1"/>
            </w:pPr>
            <w:r>
              <w:rPr>
                <w:b/>
                <w:color w:val="FFFFFF"/>
                <w:sz w:val="18"/>
                <w:rtl w:val="1"/>
              </w:rPr>
              <w:t>الاحتمالية</w:t>
            </w:r>
          </w:p>
        </w:tc>
        <w:tc>
          <w:tcPr>
            <w:tcW w:type="dxa" w:w="1560"/>
            <w:shd w:val="clear" w:color="auto" w:fill="1D2B4F"/>
          </w:tcPr>
          <w:p>
            <w:pPr>
              <w:jc w:val="right"/>
              <w:bidi w:val="1"/>
            </w:pPr>
            <w:r>
              <w:rPr>
                <w:b/>
                <w:color w:val="FFFFFF"/>
                <w:sz w:val="18"/>
                <w:rtl w:val="1"/>
              </w:rPr>
              <w:t>التأثير</w:t>
            </w:r>
          </w:p>
        </w:tc>
        <w:tc>
          <w:tcPr>
            <w:tcW w:type="dxa" w:w="1560"/>
            <w:shd w:val="clear" w:color="auto" w:fill="1D2B4F"/>
          </w:tcPr>
          <w:p>
            <w:pPr>
              <w:jc w:val="right"/>
              <w:bidi w:val="1"/>
            </w:pPr>
            <w:r>
              <w:rPr>
                <w:b/>
                <w:color w:val="FFFFFF"/>
                <w:sz w:val="18"/>
                <w:rtl w:val="1"/>
              </w:rPr>
              <w:t>خطة المعالجة</w:t>
            </w:r>
          </w:p>
        </w:tc>
        <w:tc>
          <w:tcPr>
            <w:tcW w:type="dxa" w:w="1560"/>
            <w:shd w:val="clear" w:color="auto" w:fill="1D2B4F"/>
          </w:tcPr>
          <w:p>
            <w:pPr>
              <w:jc w:val="right"/>
              <w:bidi w:val="1"/>
            </w:pPr>
            <w:r>
              <w:rPr>
                <w:b/>
                <w:color w:val="FFFFFF"/>
                <w:sz w:val="18"/>
                <w:rtl w:val="1"/>
              </w:rPr>
              <w:t>المالك</w:t>
            </w:r>
          </w:p>
        </w:tc>
      </w:tr>
      <w:tr>
        <w:tc>
          <w:tcPr>
            <w:tcW w:type="dxa" w:w="1560"/>
          </w:tcPr>
          <w:p>
            <w:pPr>
              <w:jc w:val="right"/>
              <w:bidi w:val="1"/>
            </w:pPr>
            <w:r>
              <w:rPr>
                <w:sz w:val="16"/>
                <w:rtl w:val="1"/>
              </w:rPr>
              <w:t>1</w:t>
            </w:r>
          </w:p>
        </w:tc>
        <w:tc>
          <w:tcPr>
            <w:tcW w:type="dxa" w:w="1560"/>
          </w:tcPr>
          <w:p>
            <w:pPr>
              <w:jc w:val="right"/>
              <w:bidi w:val="1"/>
            </w:pPr>
            <w:r>
              <w:rPr>
                <w:sz w:val="16"/>
                <w:rtl w:val="1"/>
              </w:rPr>
              <w:t>غياب سياسات الأمن السيبراني الموثقة وفق NCA ECC</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إطلاق مشروع توثيق السياسات خلال 90 يوماً مع تعيين مسؤول حوكمة مخصص لمراجعة الامتثال ربعياً</w:t>
            </w:r>
          </w:p>
        </w:tc>
        <w:tc>
          <w:tcPr>
            <w:tcW w:type="dxa" w:w="1560"/>
          </w:tcPr>
          <w:p>
            <w:pPr>
              <w:jc w:val="right"/>
              <w:bidi w:val="1"/>
            </w:pPr>
            <w:r>
              <w:rPr>
                <w:sz w:val="16"/>
                <w:rtl w:val="1"/>
              </w:rPr>
              <w:t>قائد حوكمة الأمن السيبراني</w:t>
            </w:r>
          </w:p>
        </w:tc>
      </w:tr>
      <w:tr>
        <w:tc>
          <w:tcPr>
            <w:tcW w:type="dxa" w:w="1560"/>
          </w:tcPr>
          <w:p>
            <w:pPr>
              <w:jc w:val="right"/>
              <w:bidi w:val="1"/>
            </w:pPr>
            <w:r>
              <w:rPr>
                <w:sz w:val="16"/>
                <w:rtl w:val="1"/>
              </w:rPr>
              <w:t>2</w:t>
            </w:r>
          </w:p>
        </w:tc>
        <w:tc>
          <w:tcPr>
            <w:tcW w:type="dxa" w:w="1560"/>
          </w:tcPr>
          <w:p>
            <w:pPr>
              <w:jc w:val="right"/>
              <w:bidi w:val="1"/>
            </w:pPr>
            <w:r>
              <w:rPr>
                <w:sz w:val="16"/>
                <w:rtl w:val="1"/>
              </w:rPr>
              <w:t>ضعف ضوابط التحكم في الوصول وانعدام المصادقة متعددة العوامل</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نشر حل إدارة الهوية والوصول مع تفعيل المصادقة متعددة العوامل لجميع الحسابات ذات الصلاحيات المرتفعة خلال 60 يوماً</w:t>
            </w:r>
          </w:p>
        </w:tc>
        <w:tc>
          <w:tcPr>
            <w:tcW w:type="dxa" w:w="1560"/>
          </w:tcPr>
          <w:p>
            <w:pPr>
              <w:jc w:val="right"/>
              <w:bidi w:val="1"/>
            </w:pPr>
            <w:r>
              <w:rPr>
                <w:sz w:val="16"/>
                <w:rtl w:val="1"/>
              </w:rPr>
              <w:t>رئيس وحدة إدارة الهوية والوصول</w:t>
            </w:r>
          </w:p>
        </w:tc>
      </w:tr>
      <w:tr>
        <w:tc>
          <w:tcPr>
            <w:tcW w:type="dxa" w:w="1560"/>
          </w:tcPr>
          <w:p>
            <w:pPr>
              <w:jc w:val="right"/>
              <w:bidi w:val="1"/>
            </w:pPr>
            <w:r>
              <w:rPr>
                <w:sz w:val="16"/>
                <w:rtl w:val="1"/>
              </w:rPr>
              <w:t>3</w:t>
            </w:r>
          </w:p>
        </w:tc>
        <w:tc>
          <w:tcPr>
            <w:tcW w:type="dxa" w:w="1560"/>
          </w:tcPr>
          <w:p>
            <w:pPr>
              <w:jc w:val="right"/>
              <w:bidi w:val="1"/>
            </w:pPr>
            <w:r>
              <w:rPr>
                <w:sz w:val="16"/>
                <w:rtl w:val="1"/>
              </w:rPr>
              <w:t>انعدام قدرة الكشف والاستجابة للحوادث الأمنية</w:t>
            </w:r>
          </w:p>
        </w:tc>
        <w:tc>
          <w:tcPr>
            <w:tcW w:type="dxa" w:w="1560"/>
          </w:tcPr>
          <w:p>
            <w:pPr>
              <w:jc w:val="right"/>
              <w:bidi w:val="1"/>
            </w:pPr>
            <w:r>
              <w:rPr>
                <w:sz w:val="16"/>
                <w:rtl w:val="1"/>
              </w:rPr>
              <w:t>عالية</w:t>
            </w:r>
          </w:p>
        </w:tc>
        <w:tc>
          <w:tcPr>
            <w:tcW w:type="dxa" w:w="1560"/>
          </w:tcPr>
          <w:p>
            <w:pPr>
              <w:jc w:val="right"/>
              <w:bidi w:val="1"/>
            </w:pPr>
            <w:r>
              <w:rPr>
                <w:sz w:val="16"/>
                <w:rtl w:val="1"/>
              </w:rPr>
              <w:t>بالغ</w:t>
            </w:r>
          </w:p>
        </w:tc>
        <w:tc>
          <w:tcPr>
            <w:tcW w:type="dxa" w:w="1560"/>
          </w:tcPr>
          <w:p>
            <w:pPr>
              <w:jc w:val="right"/>
              <w:bidi w:val="1"/>
            </w:pPr>
            <w:r>
              <w:rPr>
                <w:sz w:val="16"/>
                <w:rtl w:val="1"/>
              </w:rPr>
              <w:t>تأسيس مركز العمليات الأمنية (SOC) بمستوى خدمة أساسي مع توثيق دليل إجراءات الاستجابة للحوادث وتنفيذ تدريب محاكاة قبل نهاية الربع الأول</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4</w:t>
            </w:r>
          </w:p>
        </w:tc>
        <w:tc>
          <w:tcPr>
            <w:tcW w:type="dxa" w:w="1560"/>
          </w:tcPr>
          <w:p>
            <w:pPr>
              <w:jc w:val="right"/>
              <w:bidi w:val="1"/>
            </w:pPr>
            <w:r>
              <w:rPr>
                <w:sz w:val="16"/>
                <w:rtl w:val="1"/>
              </w:rPr>
              <w:t>التعرض لهجمات برمجيات الفدية نتيجة غياب برنامج إدارة الثغرات الأمنية</w:t>
            </w:r>
          </w:p>
        </w:tc>
        <w:tc>
          <w:tcPr>
            <w:tcW w:type="dxa" w:w="1560"/>
          </w:tcPr>
          <w:p>
            <w:pPr>
              <w:jc w:val="right"/>
              <w:bidi w:val="1"/>
            </w:pPr>
            <w:r>
              <w:rPr>
                <w:sz w:val="16"/>
                <w:rtl w:val="1"/>
              </w:rPr>
              <w:t>متوسطة</w:t>
            </w:r>
          </w:p>
        </w:tc>
        <w:tc>
          <w:tcPr>
            <w:tcW w:type="dxa" w:w="1560"/>
          </w:tcPr>
          <w:p>
            <w:pPr>
              <w:jc w:val="right"/>
              <w:bidi w:val="1"/>
            </w:pPr>
            <w:r>
              <w:rPr>
                <w:sz w:val="16"/>
                <w:rtl w:val="1"/>
              </w:rPr>
              <w:t>بالغ</w:t>
            </w:r>
          </w:p>
        </w:tc>
        <w:tc>
          <w:tcPr>
            <w:tcW w:type="dxa" w:w="1560"/>
          </w:tcPr>
          <w:p>
            <w:pPr>
              <w:jc w:val="right"/>
              <w:bidi w:val="1"/>
            </w:pPr>
            <w:r>
              <w:rPr>
                <w:sz w:val="16"/>
                <w:rtl w:val="1"/>
              </w:rPr>
              <w:t>تفعيل أداة فحص آلي أسبوعي للثغرات الأمنية مع تحديد SLA واضح لمعالجة الثغرات الحرجة خلال 72 ساعة</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5</w:t>
            </w:r>
          </w:p>
        </w:tc>
        <w:tc>
          <w:tcPr>
            <w:tcW w:type="dxa" w:w="1560"/>
          </w:tcPr>
          <w:p>
            <w:pPr>
              <w:jc w:val="right"/>
              <w:bidi w:val="1"/>
            </w:pPr>
            <w:r>
              <w:rPr>
                <w:sz w:val="16"/>
                <w:rtl w:val="1"/>
              </w:rPr>
              <w:t>مخاطر الأمن السيبراني للأطراف الثالثة دون تقييم رسمي</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تصميم استبيان تقييم أمن الموردين وربطه بعقود الخدمة الجديدة والمجددة مع إجراء مراجعة سنوية مستقلة</w:t>
            </w:r>
          </w:p>
        </w:tc>
        <w:tc>
          <w:tcPr>
            <w:tcW w:type="dxa" w:w="1560"/>
          </w:tcPr>
          <w:p>
            <w:pPr>
              <w:jc w:val="right"/>
              <w:bidi w:val="1"/>
            </w:pPr>
            <w:r>
              <w:rPr>
                <w:sz w:val="16"/>
                <w:rtl w:val="1"/>
              </w:rPr>
              <w:t>قائد حوكمة الأمن السيبراني</w:t>
            </w:r>
          </w:p>
        </w:tc>
      </w:tr>
      <w:tr>
        <w:tc>
          <w:tcPr>
            <w:tcW w:type="dxa" w:w="1560"/>
          </w:tcPr>
          <w:p>
            <w:pPr>
              <w:jc w:val="right"/>
              <w:bidi w:val="1"/>
            </w:pPr>
            <w:r>
              <w:rPr>
                <w:sz w:val="16"/>
                <w:rtl w:val="1"/>
              </w:rPr>
              <w:t>6</w:t>
            </w:r>
          </w:p>
        </w:tc>
        <w:tc>
          <w:tcPr>
            <w:tcW w:type="dxa" w:w="1560"/>
          </w:tcPr>
          <w:p>
            <w:pPr>
              <w:jc w:val="right"/>
              <w:bidi w:val="1"/>
            </w:pPr>
            <w:r>
              <w:rPr>
                <w:sz w:val="16"/>
                <w:rtl w:val="1"/>
              </w:rPr>
              <w:t>استغلال الثغرات الصفرية في بيئات غير محمية بضوابط NCA DCC</w:t>
            </w:r>
          </w:p>
        </w:tc>
        <w:tc>
          <w:tcPr>
            <w:tcW w:type="dxa" w:w="1560"/>
          </w:tcPr>
          <w:p>
            <w:pPr>
              <w:jc w:val="right"/>
              <w:bidi w:val="1"/>
            </w:pPr>
            <w:r>
              <w:rPr>
                <w:sz w:val="16"/>
                <w:rtl w:val="1"/>
              </w:rPr>
              <w:t>منخفضة</w:t>
            </w:r>
          </w:p>
        </w:tc>
        <w:tc>
          <w:tcPr>
            <w:tcW w:type="dxa" w:w="1560"/>
          </w:tcPr>
          <w:p>
            <w:pPr>
              <w:jc w:val="right"/>
              <w:bidi w:val="1"/>
            </w:pPr>
            <w:r>
              <w:rPr>
                <w:sz w:val="16"/>
                <w:rtl w:val="1"/>
              </w:rPr>
              <w:t>بالغ</w:t>
            </w:r>
          </w:p>
        </w:tc>
        <w:tc>
          <w:tcPr>
            <w:tcW w:type="dxa" w:w="1560"/>
          </w:tcPr>
          <w:p>
            <w:pPr>
              <w:jc w:val="right"/>
              <w:bidi w:val="1"/>
            </w:pPr>
            <w:r>
              <w:rPr>
                <w:sz w:val="16"/>
                <w:rtl w:val="1"/>
              </w:rPr>
              <w:t>تطبيق مبدأ الحد الأدنى من الصلاحيات وعزل الأنظمة الحرجة مع الاشتراك في خدمة استخبارات التهديدات لتلقي تحذيرات مبكرة</w:t>
            </w:r>
          </w:p>
        </w:tc>
        <w:tc>
          <w:tcPr>
            <w:tcW w:type="dxa" w:w="1560"/>
          </w:tcPr>
          <w:p>
            <w:pPr>
              <w:jc w:val="right"/>
              <w:bidi w:val="1"/>
            </w:pPr>
            <w:r>
              <w:rPr>
                <w:sz w:val="16"/>
                <w:rtl w:val="1"/>
              </w:rPr>
              <w:t>CISO</w:t>
            </w:r>
          </w:p>
        </w:tc>
      </w:tr>
      <w:tr>
        <w:tc>
          <w:tcPr>
            <w:tcW w:type="dxa" w:w="1560"/>
          </w:tcPr>
          <w:p>
            <w:pPr>
              <w:jc w:val="right"/>
              <w:bidi w:val="1"/>
            </w:pPr>
            <w:r>
              <w:rPr>
                <w:sz w:val="16"/>
                <w:rtl w:val="1"/>
              </w:rPr>
              <w:t>7</w:t>
            </w:r>
          </w:p>
        </w:tc>
        <w:tc>
          <w:tcPr>
            <w:tcW w:type="dxa" w:w="1560"/>
          </w:tcPr>
          <w:p>
            <w:pPr>
              <w:jc w:val="right"/>
              <w:bidi w:val="1"/>
            </w:pPr>
            <w:r>
              <w:rPr>
                <w:sz w:val="16"/>
                <w:rtl w:val="1"/>
              </w:rPr>
              <w:t>مخاطر حماية البيانات</w:t>
            </w:r>
          </w:p>
        </w:tc>
        <w:tc>
          <w:tcPr>
            <w:tcW w:type="dxa" w:w="1560"/>
          </w:tcPr>
          <w:p>
            <w:pPr>
              <w:jc w:val="right"/>
              <w:bidi w:val="1"/>
            </w:pPr>
            <w:r>
              <w:rPr>
                <w:sz w:val="16"/>
                <w:rtl w:val="1"/>
              </w:rPr>
              <w:t>متوسط</w:t>
            </w:r>
          </w:p>
        </w:tc>
        <w:tc>
          <w:tcPr>
            <w:tcW w:type="dxa" w:w="1560"/>
          </w:tcPr>
          <w:p>
            <w:pPr>
              <w:jc w:val="right"/>
              <w:bidi w:val="1"/>
            </w:pPr>
            <w:r>
              <w:rPr>
                <w:sz w:val="16"/>
                <w:rtl w:val="1"/>
              </w:rPr>
              <w:t>عالٍ</w:t>
            </w:r>
          </w:p>
        </w:tc>
        <w:tc>
          <w:tcPr>
            <w:tcW w:type="dxa" w:w="1560"/>
          </w:tcPr>
          <w:p>
            <w:pPr>
              <w:jc w:val="right"/>
              <w:bidi w:val="1"/>
            </w:pPr>
            <w:r>
              <w:rPr>
                <w:sz w:val="16"/>
                <w:rtl w:val="1"/>
              </w:rPr>
              <w:t>تطبيق ضوابط DCC للتصنيف والتشفير وDLP — المالك: مدير حماية البيانات</w:t>
            </w:r>
          </w:p>
        </w:tc>
        <w:tc>
          <w:tcPr>
            <w:tcW w:type="dxa" w:w="1560"/>
          </w:tcPr>
          <w:p>
            <w:pPr>
              <w:jc w:val="right"/>
              <w:bidi w:val="1"/>
            </w:pPr>
            <w:r>
              <w:rPr>
                <w:sz w:val="16"/>
                <w:rtl w:val="1"/>
              </w:rPr>
              <w:t>CISO</w:t>
            </w:r>
          </w:p>
        </w:tc>
      </w:tr>
      <w:tr>
        <w:tc>
          <w:tcPr>
            <w:tcW w:type="dxa" w:w="1560"/>
          </w:tcPr>
          <w:p>
            <w:pPr>
              <w:jc w:val="right"/>
              <w:bidi w:val="1"/>
            </w:pPr>
            <w:r>
              <w:rPr>
                <w:sz w:val="16"/>
                <w:rtl w:val="1"/>
              </w:rPr>
              <w:t>8</w:t>
            </w:r>
          </w:p>
        </w:tc>
        <w:tc>
          <w:tcPr>
            <w:tcW w:type="dxa" w:w="1560"/>
          </w:tcPr>
          <w:p>
            <w:pPr>
              <w:jc w:val="right"/>
              <w:bidi w:val="1"/>
            </w:pPr>
            <w:r>
              <w:rPr>
                <w:sz w:val="16"/>
                <w:rtl w:val="1"/>
              </w:rPr>
              <w:t>مخاطر الموارد والطاقات</w:t>
            </w:r>
          </w:p>
        </w:tc>
        <w:tc>
          <w:tcPr>
            <w:tcW w:type="dxa" w:w="1560"/>
          </w:tcPr>
          <w:p>
            <w:pPr>
              <w:jc w:val="right"/>
              <w:bidi w:val="1"/>
            </w:pPr>
            <w:r>
              <w:rPr>
                <w:sz w:val="16"/>
                <w:rtl w:val="1"/>
              </w:rPr>
              <w:t>متوسط</w:t>
            </w:r>
          </w:p>
        </w:tc>
        <w:tc>
          <w:tcPr>
            <w:tcW w:type="dxa" w:w="1560"/>
          </w:tcPr>
          <w:p>
            <w:pPr>
              <w:jc w:val="right"/>
              <w:bidi w:val="1"/>
            </w:pPr>
            <w:r>
              <w:rPr>
                <w:sz w:val="16"/>
                <w:rtl w:val="1"/>
              </w:rPr>
              <w:t>عالٍ</w:t>
            </w:r>
          </w:p>
        </w:tc>
        <w:tc>
          <w:tcPr>
            <w:tcW w:type="dxa" w:w="1560"/>
          </w:tcPr>
          <w:p>
            <w:pPr>
              <w:jc w:val="right"/>
              <w:bidi w:val="1"/>
            </w:pPr>
            <w:r>
              <w:rPr>
                <w:sz w:val="16"/>
                <w:rtl w:val="1"/>
              </w:rPr>
              <w:t>تخصيص موارد وطاقات تشغيلية مخصصة للأمن السيبراني مع خطة تنفيذ ربع سنوية — المالك: CISO</w:t>
            </w:r>
          </w:p>
        </w:tc>
        <w:tc>
          <w:tcPr>
            <w:tcW w:type="dxa" w:w="1560"/>
          </w:tcPr>
          <w:p>
            <w:pPr>
              <w:jc w:val="right"/>
              <w:bidi w:val="1"/>
            </w:pPr>
            <w:r>
              <w:rPr>
                <w:sz w:val="16"/>
                <w:rtl w:val="1"/>
              </w:rPr>
              <w:t>CISO</w:t>
            </w:r>
          </w:p>
        </w:tc>
      </w:tr>
    </w:tbl>
    <w:p/>
    <w:p>
      <w:r>
        <w:br w:type="page"/>
      </w:r>
    </w:p>
    <w:p>
      <w:pPr>
        <w:spacing w:before="160" w:after="40"/>
        <w:jc w:val="right"/>
        <w:bidi w:val="1"/>
      </w:pPr>
      <w:r>
        <w:rPr>
          <w:b/>
          <w:color w:val="1D2B4F"/>
          <w:sz w:val="28"/>
          <w:rtl w:val="1"/>
        </w:rPr>
        <w:t>نموذج الحوكمة والمسؤوليات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الدور</w:t>
            </w:r>
          </w:p>
        </w:tc>
        <w:tc>
          <w:tcPr>
            <w:tcW w:type="dxa" w:w="1872"/>
            <w:shd w:val="clear" w:color="auto" w:fill="1D2B4F"/>
          </w:tcPr>
          <w:p>
            <w:pPr>
              <w:jc w:val="right"/>
              <w:bidi w:val="1"/>
            </w:pPr>
            <w:r>
              <w:rPr>
                <w:b/>
                <w:color w:val="FFFFFF"/>
                <w:sz w:val="18"/>
                <w:rtl w:val="1"/>
              </w:rPr>
              <w:t>نطاق المسؤولية</w:t>
            </w:r>
          </w:p>
        </w:tc>
        <w:tc>
          <w:tcPr>
            <w:tcW w:type="dxa" w:w="1872"/>
            <w:shd w:val="clear" w:color="auto" w:fill="1D2B4F"/>
          </w:tcPr>
          <w:p>
            <w:pPr>
              <w:jc w:val="right"/>
              <w:bidi w:val="1"/>
            </w:pPr>
            <w:r>
              <w:rPr>
                <w:b/>
                <w:color w:val="FFFFFF"/>
                <w:sz w:val="18"/>
                <w:rtl w:val="1"/>
              </w:rPr>
              <w:t>المساءلة</w:t>
            </w:r>
          </w:p>
        </w:tc>
        <w:tc>
          <w:tcPr>
            <w:tcW w:type="dxa" w:w="1872"/>
            <w:shd w:val="clear" w:color="auto" w:fill="1D2B4F"/>
          </w:tcPr>
          <w:p>
            <w:pPr>
              <w:jc w:val="right"/>
              <w:bidi w:val="1"/>
            </w:pPr>
            <w:r>
              <w:rPr>
                <w:b/>
                <w:color w:val="FFFFFF"/>
                <w:sz w:val="18"/>
                <w:rtl w:val="1"/>
              </w:rPr>
              <w:t>التقارير / التصعيد</w:t>
            </w:r>
          </w:p>
        </w:tc>
        <w:tc>
          <w:tcPr>
            <w:tcW w:type="dxa" w:w="1872"/>
            <w:shd w:val="clear" w:color="auto" w:fill="1D2B4F"/>
          </w:tcPr>
          <w:p>
            <w:pPr>
              <w:jc w:val="right"/>
              <w:bidi w:val="1"/>
            </w:pPr>
            <w:r>
              <w:rPr>
                <w:b/>
                <w:color w:val="FFFFFF"/>
                <w:sz w:val="18"/>
                <w:rtl w:val="1"/>
              </w:rPr>
              <w:t>الإطار المرتبط</w:t>
            </w:r>
          </w:p>
        </w:tc>
      </w:tr>
      <w:tr>
        <w:tc>
          <w:tcPr>
            <w:tcW w:type="dxa" w:w="1872"/>
          </w:tcPr>
          <w:p>
            <w:pPr>
              <w:jc w:val="right"/>
              <w:bidi w:val="1"/>
            </w:pPr>
            <w:r>
              <w:rPr>
                <w:sz w:val="16"/>
                <w:rtl w:val="1"/>
              </w:rPr>
              <w:t>اللجنة التوجيهية للأمن السيبراني</w:t>
            </w:r>
          </w:p>
        </w:tc>
        <w:tc>
          <w:tcPr>
            <w:tcW w:type="dxa" w:w="1872"/>
          </w:tcPr>
          <w:p>
            <w:pPr>
              <w:jc w:val="right"/>
              <w:bidi w:val="1"/>
            </w:pPr>
            <w:r>
              <w:rPr>
                <w:sz w:val="16"/>
                <w:rtl w:val="1"/>
              </w:rPr>
              <w:t>اعتماد استراتيجية الأمن السيبراني والإشراف على تنفيذها</w:t>
            </w:r>
          </w:p>
        </w:tc>
        <w:tc>
          <w:tcPr>
            <w:tcW w:type="dxa" w:w="1872"/>
          </w:tcPr>
          <w:p>
            <w:pPr>
              <w:jc w:val="right"/>
              <w:bidi w:val="1"/>
            </w:pPr>
            <w:r>
              <w:rPr>
                <w:sz w:val="16"/>
                <w:rtl w:val="1"/>
              </w:rPr>
              <w:t>مساءَلة عن التوجه الاستراتيجي واعتماد السياسات والميزانيات</w:t>
            </w:r>
          </w:p>
        </w:tc>
        <w:tc>
          <w:tcPr>
            <w:tcW w:type="dxa" w:w="1872"/>
          </w:tcPr>
          <w:p>
            <w:pPr>
              <w:jc w:val="right"/>
              <w:bidi w:val="1"/>
            </w:pPr>
            <w:r>
              <w:rPr>
                <w:sz w:val="16"/>
                <w:rtl w:val="1"/>
              </w:rPr>
              <w:t>ترفع تقاريرها إلى الإدارة العليا ومجلس الإدارة</w:t>
            </w:r>
          </w:p>
        </w:tc>
        <w:tc>
          <w:tcPr>
            <w:tcW w:type="dxa" w:w="1872"/>
          </w:tcPr>
          <w:p>
            <w:pPr>
              <w:jc w:val="right"/>
              <w:bidi w:val="1"/>
            </w:pPr>
            <w:r>
              <w:rPr>
                <w:sz w:val="16"/>
                <w:rtl w:val="1"/>
              </w:rPr>
              <w:t>NCA ECC / NCA DCC</w:t>
            </w:r>
          </w:p>
        </w:tc>
      </w:tr>
      <w:tr>
        <w:tc>
          <w:tcPr>
            <w:tcW w:type="dxa" w:w="1872"/>
          </w:tcPr>
          <w:p>
            <w:pPr>
              <w:jc w:val="right"/>
              <w:bidi w:val="1"/>
            </w:pPr>
            <w:r>
              <w:rPr>
                <w:sz w:val="16"/>
                <w:rtl w:val="1"/>
              </w:rPr>
              <w:t>رئيس الأمن السيبراني CISO</w:t>
            </w:r>
          </w:p>
        </w:tc>
        <w:tc>
          <w:tcPr>
            <w:tcW w:type="dxa" w:w="1872"/>
          </w:tcPr>
          <w:p>
            <w:pPr>
              <w:jc w:val="right"/>
              <w:bidi w:val="1"/>
            </w:pPr>
            <w:r>
              <w:rPr>
                <w:sz w:val="16"/>
                <w:rtl w:val="1"/>
              </w:rPr>
              <w:t>قيادة برنامج الأمن السيبراني وإدارة المخاطر السيبرانية</w:t>
            </w:r>
          </w:p>
        </w:tc>
        <w:tc>
          <w:tcPr>
            <w:tcW w:type="dxa" w:w="1872"/>
          </w:tcPr>
          <w:p>
            <w:pPr>
              <w:jc w:val="right"/>
              <w:bidi w:val="1"/>
            </w:pPr>
            <w:r>
              <w:rPr>
                <w:sz w:val="16"/>
                <w:rtl w:val="1"/>
              </w:rPr>
              <w:t>مساءَل عن تنفيذ الاستراتيجية والامتثال لـ NCA ECC و NCA DCC</w:t>
            </w:r>
          </w:p>
        </w:tc>
        <w:tc>
          <w:tcPr>
            <w:tcW w:type="dxa" w:w="1872"/>
          </w:tcPr>
          <w:p>
            <w:pPr>
              <w:jc w:val="right"/>
              <w:bidi w:val="1"/>
            </w:pPr>
            <w:r>
              <w:rPr>
                <w:sz w:val="16"/>
                <w:rtl w:val="1"/>
              </w:rPr>
              <w:t>يرفع التقارير إلى اللجنة التوجيهية والإدارة العليا</w:t>
            </w:r>
          </w:p>
        </w:tc>
        <w:tc>
          <w:tcPr>
            <w:tcW w:type="dxa" w:w="1872"/>
          </w:tcPr>
          <w:p>
            <w:pPr>
              <w:jc w:val="right"/>
              <w:bidi w:val="1"/>
            </w:pPr>
            <w:r>
              <w:rPr>
                <w:sz w:val="16"/>
                <w:rtl w:val="1"/>
              </w:rPr>
              <w:t>NCA ECC / NCA DCC</w:t>
            </w:r>
          </w:p>
        </w:tc>
      </w:tr>
      <w:tr>
        <w:tc>
          <w:tcPr>
            <w:tcW w:type="dxa" w:w="1872"/>
          </w:tcPr>
          <w:p>
            <w:pPr>
              <w:jc w:val="right"/>
              <w:bidi w:val="1"/>
            </w:pPr>
            <w:r>
              <w:rPr>
                <w:sz w:val="16"/>
                <w:rtl w:val="1"/>
              </w:rPr>
              <w:t>مدير حوكمة الأمن السيبراني</w:t>
            </w:r>
          </w:p>
        </w:tc>
        <w:tc>
          <w:tcPr>
            <w:tcW w:type="dxa" w:w="1872"/>
          </w:tcPr>
          <w:p>
            <w:pPr>
              <w:jc w:val="right"/>
              <w:bidi w:val="1"/>
            </w:pPr>
            <w:r>
              <w:rPr>
                <w:sz w:val="16"/>
                <w:rtl w:val="1"/>
              </w:rPr>
              <w:t>إدارة السياسات والمعايير ومتابعة الامتثال التنظيمي</w:t>
            </w:r>
          </w:p>
        </w:tc>
        <w:tc>
          <w:tcPr>
            <w:tcW w:type="dxa" w:w="1872"/>
          </w:tcPr>
          <w:p>
            <w:pPr>
              <w:jc w:val="right"/>
              <w:bidi w:val="1"/>
            </w:pPr>
            <w:r>
              <w:rPr>
                <w:sz w:val="16"/>
                <w:rtl w:val="1"/>
              </w:rPr>
              <w:t>مساءَل عن تطوير وتحديث سياسات الأمن السيبراني</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مركز العمليات الأمنية SOC</w:t>
            </w:r>
          </w:p>
        </w:tc>
        <w:tc>
          <w:tcPr>
            <w:tcW w:type="dxa" w:w="1872"/>
          </w:tcPr>
          <w:p>
            <w:pPr>
              <w:jc w:val="right"/>
              <w:bidi w:val="1"/>
            </w:pPr>
            <w:r>
              <w:rPr>
                <w:sz w:val="16"/>
                <w:rtl w:val="1"/>
              </w:rPr>
              <w:t>إدارة SOC والمراقبة المستمرة للتهديدات وتفعيل SIEM</w:t>
            </w:r>
          </w:p>
        </w:tc>
        <w:tc>
          <w:tcPr>
            <w:tcW w:type="dxa" w:w="1872"/>
          </w:tcPr>
          <w:p>
            <w:pPr>
              <w:jc w:val="right"/>
              <w:bidi w:val="1"/>
            </w:pPr>
            <w:r>
              <w:rPr>
                <w:sz w:val="16"/>
                <w:rtl w:val="1"/>
              </w:rPr>
              <w:t>مساءَل عن كشف الحوادث الأمنية وزمن الاستجابة الأولية</w:t>
            </w:r>
          </w:p>
        </w:tc>
        <w:tc>
          <w:tcPr>
            <w:tcW w:type="dxa" w:w="1872"/>
          </w:tcPr>
          <w:p>
            <w:pPr>
              <w:jc w:val="right"/>
              <w:bidi w:val="1"/>
            </w:pPr>
            <w:r>
              <w:rPr>
                <w:sz w:val="16"/>
                <w:rtl w:val="1"/>
              </w:rPr>
              <w:t>يرفع التقارير إلى CISO ويصعد الحوادث الحرجة فوراً</w:t>
            </w:r>
          </w:p>
        </w:tc>
        <w:tc>
          <w:tcPr>
            <w:tcW w:type="dxa" w:w="1872"/>
          </w:tcPr>
          <w:p>
            <w:pPr>
              <w:jc w:val="right"/>
              <w:bidi w:val="1"/>
            </w:pPr>
            <w:r>
              <w:rPr>
                <w:sz w:val="16"/>
                <w:rtl w:val="1"/>
              </w:rPr>
              <w:t>NCA ECC</w:t>
            </w:r>
          </w:p>
        </w:tc>
      </w:tr>
      <w:tr>
        <w:tc>
          <w:tcPr>
            <w:tcW w:type="dxa" w:w="1872"/>
          </w:tcPr>
          <w:p>
            <w:pPr>
              <w:jc w:val="right"/>
              <w:bidi w:val="1"/>
            </w:pPr>
            <w:r>
              <w:rPr>
                <w:sz w:val="16"/>
                <w:rtl w:val="1"/>
              </w:rPr>
              <w:t>مدير حماية البيانات</w:t>
            </w:r>
          </w:p>
        </w:tc>
        <w:tc>
          <w:tcPr>
            <w:tcW w:type="dxa" w:w="1872"/>
          </w:tcPr>
          <w:p>
            <w:pPr>
              <w:jc w:val="right"/>
              <w:bidi w:val="1"/>
            </w:pPr>
            <w:r>
              <w:rPr>
                <w:sz w:val="16"/>
                <w:rtl w:val="1"/>
              </w:rPr>
              <w:t>إدارة DLP والتشفير وتصنيف البيانات وحمايتها</w:t>
            </w:r>
          </w:p>
        </w:tc>
        <w:tc>
          <w:tcPr>
            <w:tcW w:type="dxa" w:w="1872"/>
          </w:tcPr>
          <w:p>
            <w:pPr>
              <w:jc w:val="right"/>
              <w:bidi w:val="1"/>
            </w:pPr>
            <w:r>
              <w:rPr>
                <w:sz w:val="16"/>
                <w:rtl w:val="1"/>
              </w:rPr>
              <w:t>مساءَل عن تطبيق ضوابط حماية البيانات الحساسة</w:t>
            </w:r>
          </w:p>
        </w:tc>
        <w:tc>
          <w:tcPr>
            <w:tcW w:type="dxa" w:w="1872"/>
          </w:tcPr>
          <w:p>
            <w:pPr>
              <w:jc w:val="right"/>
              <w:bidi w:val="1"/>
            </w:pPr>
            <w:r>
              <w:rPr>
                <w:sz w:val="16"/>
                <w:rtl w:val="1"/>
              </w:rPr>
              <w:t>يرفع التقارير إلى CISO ويصعد حوادث تسرب البيانات</w:t>
            </w:r>
          </w:p>
        </w:tc>
        <w:tc>
          <w:tcPr>
            <w:tcW w:type="dxa" w:w="1872"/>
          </w:tcPr>
          <w:p>
            <w:pPr>
              <w:jc w:val="right"/>
              <w:bidi w:val="1"/>
            </w:pPr>
            <w:r>
              <w:rPr>
                <w:sz w:val="16"/>
                <w:rtl w:val="1"/>
              </w:rPr>
              <w:t>NCA DCC</w:t>
            </w:r>
          </w:p>
        </w:tc>
      </w:tr>
      <w:tr>
        <w:tc>
          <w:tcPr>
            <w:tcW w:type="dxa" w:w="1872"/>
          </w:tcPr>
          <w:p>
            <w:pPr>
              <w:jc w:val="right"/>
              <w:bidi w:val="1"/>
            </w:pPr>
            <w:r>
              <w:rPr>
                <w:sz w:val="16"/>
                <w:rtl w:val="1"/>
              </w:rPr>
              <w:t>مدير إدارة الهوية والوصول IAM/PAM</w:t>
            </w:r>
          </w:p>
        </w:tc>
        <w:tc>
          <w:tcPr>
            <w:tcW w:type="dxa" w:w="1872"/>
          </w:tcPr>
          <w:p>
            <w:pPr>
              <w:jc w:val="right"/>
              <w:bidi w:val="1"/>
            </w:pPr>
            <w:r>
              <w:rPr>
                <w:sz w:val="16"/>
                <w:rtl w:val="1"/>
              </w:rPr>
              <w:t>إدارة الهويات والصلاحيات وتفعيل MFA للوصول المميز</w:t>
            </w:r>
          </w:p>
        </w:tc>
        <w:tc>
          <w:tcPr>
            <w:tcW w:type="dxa" w:w="1872"/>
          </w:tcPr>
          <w:p>
            <w:pPr>
              <w:jc w:val="right"/>
              <w:bidi w:val="1"/>
            </w:pPr>
            <w:r>
              <w:rPr>
                <w:sz w:val="16"/>
                <w:rtl w:val="1"/>
              </w:rPr>
              <w:t>مساءَل عن منع الوصول غير المصرح وإدارة الحسابات المميزة</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الاستجابة للحوادث CSIRT</w:t>
            </w:r>
          </w:p>
        </w:tc>
        <w:tc>
          <w:tcPr>
            <w:tcW w:type="dxa" w:w="1872"/>
          </w:tcPr>
          <w:p>
            <w:pPr>
              <w:jc w:val="right"/>
              <w:bidi w:val="1"/>
            </w:pPr>
            <w:r>
              <w:rPr>
                <w:sz w:val="16"/>
                <w:rtl w:val="1"/>
              </w:rPr>
              <w:t>قيادة فريق CSIRT وتنفيذ خطة الاستجابة للحوادث</w:t>
            </w:r>
          </w:p>
        </w:tc>
        <w:tc>
          <w:tcPr>
            <w:tcW w:type="dxa" w:w="1872"/>
          </w:tcPr>
          <w:p>
            <w:pPr>
              <w:jc w:val="right"/>
              <w:bidi w:val="1"/>
            </w:pPr>
            <w:r>
              <w:rPr>
                <w:sz w:val="16"/>
                <w:rtl w:val="1"/>
              </w:rPr>
              <w:t>مساءَل عن احتواء الحوادث وإدارتها حتى الإغلاق</w:t>
            </w:r>
          </w:p>
        </w:tc>
        <w:tc>
          <w:tcPr>
            <w:tcW w:type="dxa" w:w="1872"/>
          </w:tcPr>
          <w:p>
            <w:pPr>
              <w:jc w:val="right"/>
              <w:bidi w:val="1"/>
            </w:pPr>
            <w:r>
              <w:rPr>
                <w:sz w:val="16"/>
                <w:rtl w:val="1"/>
              </w:rPr>
              <w:t>يرفع التقارير إلى CISO ويصعد الحوادث ذات الأثر العالي</w:t>
            </w:r>
          </w:p>
        </w:tc>
        <w:tc>
          <w:tcPr>
            <w:tcW w:type="dxa" w:w="1872"/>
          </w:tcPr>
          <w:p>
            <w:pPr>
              <w:jc w:val="right"/>
              <w:bidi w:val="1"/>
            </w:pPr>
            <w:r>
              <w:rPr>
                <w:sz w:val="16"/>
                <w:rtl w:val="1"/>
              </w:rPr>
              <w:t>NCA ECC</w:t>
            </w:r>
          </w:p>
        </w:tc>
      </w:tr>
      <w:tr>
        <w:tc>
          <w:tcPr>
            <w:tcW w:type="dxa" w:w="1872"/>
          </w:tcPr>
          <w:p>
            <w:pPr>
              <w:jc w:val="right"/>
              <w:bidi w:val="1"/>
            </w:pPr>
            <w:r>
              <w:rPr>
                <w:sz w:val="16"/>
                <w:rtl w:val="1"/>
              </w:rPr>
              <w:t>مدير إدارة الثغرات</w:t>
            </w:r>
          </w:p>
        </w:tc>
        <w:tc>
          <w:tcPr>
            <w:tcW w:type="dxa" w:w="1872"/>
          </w:tcPr>
          <w:p>
            <w:pPr>
              <w:jc w:val="right"/>
              <w:bidi w:val="1"/>
            </w:pPr>
            <w:r>
              <w:rPr>
                <w:sz w:val="16"/>
                <w:rtl w:val="1"/>
              </w:rPr>
              <w:t>إدارة برنامج إدارة الثغرات وفحصها ومعالجتها وفق SLA</w:t>
            </w:r>
          </w:p>
        </w:tc>
        <w:tc>
          <w:tcPr>
            <w:tcW w:type="dxa" w:w="1872"/>
          </w:tcPr>
          <w:p>
            <w:pPr>
              <w:jc w:val="right"/>
              <w:bidi w:val="1"/>
            </w:pPr>
            <w:r>
              <w:rPr>
                <w:sz w:val="16"/>
                <w:rtl w:val="1"/>
              </w:rPr>
              <w:t>مساءَل عن معالجة الثغرات الحرجة خلال SLA المحدد</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استمرارية الأعمال / التعافي</w:t>
            </w:r>
          </w:p>
        </w:tc>
        <w:tc>
          <w:tcPr>
            <w:tcW w:type="dxa" w:w="1872"/>
          </w:tcPr>
          <w:p>
            <w:pPr>
              <w:jc w:val="right"/>
              <w:bidi w:val="1"/>
            </w:pPr>
            <w:r>
              <w:rPr>
                <w:sz w:val="16"/>
                <w:rtl w:val="1"/>
              </w:rPr>
              <w:t>إدارة استمرارية الأعمال والتعافي من الكوارث السيبرانية</w:t>
            </w:r>
          </w:p>
        </w:tc>
        <w:tc>
          <w:tcPr>
            <w:tcW w:type="dxa" w:w="1872"/>
          </w:tcPr>
          <w:p>
            <w:pPr>
              <w:jc w:val="right"/>
              <w:bidi w:val="1"/>
            </w:pPr>
            <w:r>
              <w:rPr>
                <w:sz w:val="16"/>
                <w:rtl w:val="1"/>
              </w:rPr>
              <w:t>مساءَل عن تنفيذ خطط BCP / DRP السيبرانية واختبارها</w:t>
            </w:r>
          </w:p>
        </w:tc>
        <w:tc>
          <w:tcPr>
            <w:tcW w:type="dxa" w:w="1872"/>
          </w:tcPr>
          <w:p>
            <w:pPr>
              <w:jc w:val="right"/>
              <w:bidi w:val="1"/>
            </w:pPr>
            <w:r>
              <w:rPr>
                <w:sz w:val="16"/>
                <w:rtl w:val="1"/>
              </w:rPr>
              <w:t>يرفع التقارير إلى CISO والإدارة العليا</w:t>
            </w:r>
          </w:p>
        </w:tc>
        <w:tc>
          <w:tcPr>
            <w:tcW w:type="dxa" w:w="1872"/>
          </w:tcPr>
          <w:p>
            <w:pPr>
              <w:jc w:val="right"/>
              <w:bidi w:val="1"/>
            </w:pPr>
            <w:r>
              <w:rPr>
                <w:sz w:val="16"/>
                <w:rtl w:val="1"/>
              </w:rPr>
              <w:t>NCA ECC</w:t>
            </w:r>
          </w:p>
        </w:tc>
      </w:tr>
      <w:tr>
        <w:tc>
          <w:tcPr>
            <w:tcW w:type="dxa" w:w="1872"/>
          </w:tcPr>
          <w:p>
            <w:pPr>
              <w:jc w:val="right"/>
              <w:bidi w:val="1"/>
            </w:pPr>
            <w:r>
              <w:rPr>
                <w:sz w:val="16"/>
                <w:rtl w:val="1"/>
              </w:rPr>
              <w:t>مكتب إدارة المشاريع PMO</w:t>
            </w:r>
          </w:p>
        </w:tc>
        <w:tc>
          <w:tcPr>
            <w:tcW w:type="dxa" w:w="1872"/>
          </w:tcPr>
          <w:p>
            <w:pPr>
              <w:jc w:val="right"/>
              <w:bidi w:val="1"/>
            </w:pPr>
            <w:r>
              <w:rPr>
                <w:sz w:val="16"/>
                <w:rtl w:val="1"/>
              </w:rPr>
              <w:t>متابعة تنفيذ خارطة الطريق والمبادرات السيبرانية</w:t>
            </w:r>
          </w:p>
        </w:tc>
        <w:tc>
          <w:tcPr>
            <w:tcW w:type="dxa" w:w="1872"/>
          </w:tcPr>
          <w:p>
            <w:pPr>
              <w:jc w:val="right"/>
              <w:bidi w:val="1"/>
            </w:pPr>
            <w:r>
              <w:rPr>
                <w:sz w:val="16"/>
                <w:rtl w:val="1"/>
              </w:rPr>
              <w:t>مساءَل عن تتبع الإنجاز والمخاطر والتصعيد</w:t>
            </w:r>
          </w:p>
        </w:tc>
        <w:tc>
          <w:tcPr>
            <w:tcW w:type="dxa" w:w="1872"/>
          </w:tcPr>
          <w:p>
            <w:pPr>
              <w:jc w:val="right"/>
              <w:bidi w:val="1"/>
            </w:pPr>
            <w:r>
              <w:rPr>
                <w:sz w:val="16"/>
                <w:rtl w:val="1"/>
              </w:rPr>
              <w:t>يرفع التقارير إلى CISO واللجنة التوجيهية</w:t>
            </w:r>
          </w:p>
        </w:tc>
        <w:tc>
          <w:tcPr>
            <w:tcW w:type="dxa" w:w="1872"/>
          </w:tcPr>
          <w:p>
            <w:pPr>
              <w:jc w:val="right"/>
              <w:bidi w:val="1"/>
            </w:pPr>
            <w:r>
              <w:rPr>
                <w:sz w:val="16"/>
                <w:rtl w:val="1"/>
              </w:rPr>
              <w:t>NCA ECC / NCA DCC</w:t>
            </w:r>
          </w:p>
        </w:tc>
      </w:tr>
      <w:tr>
        <w:tc>
          <w:tcPr>
            <w:tcW w:type="dxa" w:w="1872"/>
          </w:tcPr>
          <w:p>
            <w:pPr>
              <w:jc w:val="right"/>
              <w:bidi w:val="1"/>
            </w:pPr>
            <w:r>
              <w:rPr>
                <w:sz w:val="16"/>
                <w:rtl w:val="1"/>
              </w:rPr>
              <w:t>الإدارة العليا</w:t>
            </w:r>
          </w:p>
        </w:tc>
        <w:tc>
          <w:tcPr>
            <w:tcW w:type="dxa" w:w="1872"/>
          </w:tcPr>
          <w:p>
            <w:pPr>
              <w:jc w:val="right"/>
              <w:bidi w:val="1"/>
            </w:pPr>
            <w:r>
              <w:rPr>
                <w:sz w:val="16"/>
                <w:rtl w:val="1"/>
              </w:rPr>
              <w:t>الإشراف التنفيذي ورفع المخاطر السيبرانية إلى مجلس الإدارة</w:t>
            </w:r>
          </w:p>
        </w:tc>
        <w:tc>
          <w:tcPr>
            <w:tcW w:type="dxa" w:w="1872"/>
          </w:tcPr>
          <w:p>
            <w:pPr>
              <w:jc w:val="right"/>
              <w:bidi w:val="1"/>
            </w:pPr>
            <w:r>
              <w:rPr>
                <w:sz w:val="16"/>
                <w:rtl w:val="1"/>
              </w:rPr>
              <w:t>مساءَلة عن دعم الموارد واتخاذ القرارات الاستراتيجية</w:t>
            </w:r>
          </w:p>
        </w:tc>
        <w:tc>
          <w:tcPr>
            <w:tcW w:type="dxa" w:w="1872"/>
          </w:tcPr>
          <w:p>
            <w:pPr>
              <w:jc w:val="right"/>
              <w:bidi w:val="1"/>
            </w:pPr>
            <w:r>
              <w:rPr>
                <w:sz w:val="16"/>
                <w:rtl w:val="1"/>
              </w:rPr>
              <w:t>ترفع التقارير إلى مجلس الإدارة</w:t>
            </w:r>
          </w:p>
        </w:tc>
        <w:tc>
          <w:tcPr>
            <w:tcW w:type="dxa" w:w="1872"/>
          </w:tcPr>
          <w:p>
            <w:pPr>
              <w:jc w:val="right"/>
              <w:bidi w:val="1"/>
            </w:pPr>
            <w:r>
              <w:rPr>
                <w:sz w:val="16"/>
                <w:rtl w:val="1"/>
              </w:rPr>
              <w:t>NCA ECC / NCA DCC</w:t>
            </w:r>
          </w:p>
        </w:tc>
      </w:tr>
    </w:tbl>
    <w:p/>
    <w:p>
      <w:r>
        <w:br w:type="page"/>
      </w:r>
    </w:p>
    <w:p>
      <w:pPr>
        <w:spacing w:before="160" w:after="40"/>
        <w:jc w:val="right"/>
        <w:bidi w:val="1"/>
      </w:pPr>
      <w:r>
        <w:rPr>
          <w:b/>
          <w:color w:val="1D2B4F"/>
          <w:sz w:val="28"/>
          <w:rtl w:val="1"/>
        </w:rPr>
        <w:t>مصفوفة تتبع الأطر المرجعية</w:t>
      </w:r>
    </w:p>
    <w:p>
      <w:pPr>
        <w:pBdr>
          <w:bottom w:val="single" w:sz="12" w:space="2" w:color="D04A02"/>
        </w:pBdr>
        <w:spacing w:after="160"/>
      </w:pPr>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تصنيف البيانات</w:t>
            </w:r>
          </w:p>
        </w:tc>
        <w:tc>
          <w:tcPr>
            <w:tcW w:type="dxa" w:w="3120"/>
          </w:tcPr>
          <w:p>
            <w:pPr>
              <w:jc w:val="right"/>
              <w:bidi w:val="1"/>
            </w:pPr>
            <w:r>
              <w:rPr>
                <w:sz w:val="16"/>
                <w:rtl w:val="1"/>
              </w:rPr>
              <w:t>غياب ضوابط تصنيف البيانات ومعالجة البيانات الحساسة وتشفيرها</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التشفير</w:t>
            </w:r>
          </w:p>
        </w:tc>
        <w:tc>
          <w:tcPr>
            <w:tcW w:type="dxa" w:w="3120"/>
          </w:tcPr>
          <w:p>
            <w:pPr>
              <w:jc w:val="right"/>
              <w:bidi w:val="1"/>
            </w:pPr>
            <w:r>
              <w:rPr>
                <w:sz w:val="16"/>
                <w:rtl w:val="1"/>
              </w:rPr>
              <w:t>غياب ضوابط تصنيف البيانات ومعالجة البيانات الحساسة وتشفيرها</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منع تسرب البيانات / DLP</w:t>
            </w:r>
          </w:p>
        </w:tc>
        <w:tc>
          <w:tcPr>
            <w:tcW w:type="dxa" w:w="3120"/>
          </w:tcPr>
          <w:p>
            <w:pPr>
              <w:jc w:val="right"/>
              <w:bidi w:val="1"/>
            </w:pPr>
            <w:r>
              <w:rPr>
                <w:sz w:val="16"/>
                <w:rtl w:val="1"/>
              </w:rPr>
              <w:t>ضعف ضوابط منع تسرب البيانات</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معالجة البيانات الحساسة</w:t>
            </w:r>
          </w:p>
        </w:tc>
        <w:tc>
          <w:tcPr>
            <w:tcW w:type="dxa" w:w="3120"/>
          </w:tcPr>
          <w:p>
            <w:pPr>
              <w:jc w:val="right"/>
              <w:bidi w:val="1"/>
            </w:pPr>
            <w:r>
              <w:rPr>
                <w:sz w:val="16"/>
                <w:rtl w:val="1"/>
              </w:rPr>
              <w:t>غياب ضوابط تصنيف البيانات ومعالجة البيانات الحساسة وتشفيرها</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حماية البيانات</w:t>
            </w:r>
          </w:p>
        </w:tc>
        <w:tc>
          <w:tcPr>
            <w:tcW w:type="dxa" w:w="3120"/>
          </w:tcPr>
          <w:p>
            <w:pPr>
              <w:jc w:val="right"/>
              <w:bidi w:val="1"/>
            </w:pPr>
            <w:r>
              <w:rPr>
                <w:sz w:val="16"/>
                <w:rtl w:val="1"/>
              </w:rPr>
              <w:t>غياب ضوابط تصنيف البيانات ومعالجة البيانات الحساسة وتشفيرها</w:t>
            </w:r>
          </w:p>
        </w:tc>
      </w:tr>
    </w:tbl>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تنفيذ تصنيف البيانات / تصنيف البيانات الحساسة</w:t>
            </w:r>
          </w:p>
        </w:tc>
        <w:tc>
          <w:tcPr>
            <w:tcW w:type="dxa" w:w="2340"/>
          </w:tcPr>
          <w:p>
            <w:pPr>
              <w:jc w:val="right"/>
              <w:bidi w:val="1"/>
            </w:pPr>
            <w:r>
              <w:rPr>
                <w:sz w:val="16"/>
                <w:rtl w:val="1"/>
              </w:rPr>
              <w:t>نسبة تصنيف البيانات الحساسة</w:t>
            </w:r>
          </w:p>
        </w:tc>
        <w:tc>
          <w:tcPr>
            <w:tcW w:type="dxa" w:w="2340"/>
          </w:tcPr>
          <w:p>
            <w:pPr>
              <w:jc w:val="right"/>
              <w:bidi w:val="1"/>
            </w:pPr>
            <w:r>
              <w:rPr>
                <w:sz w:val="16"/>
                <w:rtl w:val="1"/>
              </w:rPr>
              <w:t>اختراق البيانات أو سوء تصنيف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ضوابط التشفير</w:t>
            </w:r>
          </w:p>
        </w:tc>
        <w:tc>
          <w:tcPr>
            <w:tcW w:type="dxa" w:w="2340"/>
          </w:tcPr>
          <w:p>
            <w:pPr>
              <w:jc w:val="right"/>
              <w:bidi w:val="1"/>
            </w:pPr>
            <w:r>
              <w:rPr>
                <w:sz w:val="16"/>
                <w:rtl w:val="1"/>
              </w:rPr>
              <w:t>نسبة الامتثال لسياسات التشفير</w:t>
            </w:r>
          </w:p>
        </w:tc>
        <w:tc>
          <w:tcPr>
            <w:tcW w:type="dxa" w:w="2340"/>
          </w:tcPr>
          <w:p>
            <w:pPr>
              <w:jc w:val="right"/>
              <w:bidi w:val="1"/>
            </w:pPr>
            <w:r>
              <w:rPr>
                <w:sz w:val="16"/>
                <w:rtl w:val="1"/>
              </w:rPr>
              <w:t>تسرب البيانات أثناء النقل أو التخزين</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DLP / منع تسرب البيانات</w:t>
            </w:r>
          </w:p>
        </w:tc>
        <w:tc>
          <w:tcPr>
            <w:tcW w:type="dxa" w:w="2340"/>
          </w:tcPr>
          <w:p>
            <w:pPr>
              <w:jc w:val="right"/>
              <w:bidi w:val="1"/>
            </w:pPr>
            <w:r>
              <w:rPr>
                <w:sz w:val="16"/>
                <w:rtl w:val="1"/>
              </w:rPr>
              <w:t>عدد حوادث تسرب البيانات أو مؤشرات منع التسرب</w:t>
            </w:r>
          </w:p>
        </w:tc>
        <w:tc>
          <w:tcPr>
            <w:tcW w:type="dxa" w:w="2340"/>
          </w:tcPr>
          <w:p>
            <w:pPr>
              <w:jc w:val="right"/>
              <w:bidi w:val="1"/>
            </w:pPr>
            <w:r>
              <w:rPr>
                <w:sz w:val="16"/>
                <w:rtl w:val="1"/>
              </w:rPr>
              <w:t>فقدان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معالجة البيانات الحساسة وفق الضوابط</w:t>
            </w:r>
          </w:p>
        </w:tc>
        <w:tc>
          <w:tcPr>
            <w:tcW w:type="dxa" w:w="2340"/>
          </w:tcPr>
          <w:p>
            <w:pPr>
              <w:jc w:val="right"/>
              <w:bidi w:val="1"/>
            </w:pPr>
            <w:r>
              <w:rPr>
                <w:sz w:val="16"/>
                <w:rtl w:val="1"/>
              </w:rPr>
              <w:t>نسبة الأصول الحساسة المصنفة أو المحمية</w:t>
            </w:r>
          </w:p>
        </w:tc>
        <w:tc>
          <w:tcPr>
            <w:tcW w:type="dxa" w:w="2340"/>
          </w:tcPr>
          <w:p>
            <w:pPr>
              <w:jc w:val="right"/>
              <w:bidi w:val="1"/>
            </w:pPr>
            <w:r>
              <w:rPr>
                <w:sz w:val="16"/>
                <w:rtl w:val="1"/>
              </w:rPr>
              <w:t>إفشاء غير مصرح للبيانات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حماية البيانات أثناء النقل والتخزين</w:t>
            </w:r>
          </w:p>
        </w:tc>
        <w:tc>
          <w:tcPr>
            <w:tcW w:type="dxa" w:w="2340"/>
          </w:tcPr>
          <w:p>
            <w:pPr>
              <w:jc w:val="right"/>
              <w:bidi w:val="1"/>
            </w:pPr>
            <w:r>
              <w:rPr>
                <w:sz w:val="16"/>
                <w:rtl w:val="1"/>
              </w:rPr>
              <w:t>نسبة الأصول المشفرة أو المحمية</w:t>
            </w:r>
          </w:p>
        </w:tc>
        <w:tc>
          <w:tcPr>
            <w:tcW w:type="dxa" w:w="2340"/>
          </w:tcPr>
          <w:p>
            <w:pPr>
              <w:jc w:val="right"/>
              <w:bidi w:val="1"/>
            </w:pPr>
            <w:r>
              <w:rPr>
                <w:sz w:val="16"/>
                <w:rtl w:val="1"/>
              </w:rPr>
              <w:t>اختراق البيانات أو ضعف حماية البيانات</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حوكمة الأمن السيبراني</w:t>
            </w:r>
          </w:p>
        </w:tc>
        <w:tc>
          <w:tcPr>
            <w:tcW w:type="dxa" w:w="3120"/>
          </w:tcPr>
          <w:p>
            <w:pPr>
              <w:jc w:val="right"/>
              <w:bidi w:val="1"/>
            </w:pPr>
            <w:r>
              <w:rPr>
                <w:sz w:val="16"/>
                <w:rtl w:val="1"/>
              </w:rPr>
              <w:t>غياب إدارة الأمن السيبراني وتعيين CISO ونموذج تشغيل الأمن السيبراني</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الهوية والوصول</w:t>
            </w:r>
          </w:p>
        </w:tc>
        <w:tc>
          <w:tcPr>
            <w:tcW w:type="dxa" w:w="3120"/>
          </w:tcPr>
          <w:p>
            <w:pPr>
              <w:jc w:val="right"/>
              <w:bidi w:val="1"/>
            </w:pPr>
            <w:r>
              <w:rPr>
                <w:sz w:val="16"/>
                <w:rtl w:val="1"/>
              </w:rPr>
              <w:t>ضعف إدارة الهوية والوصول (IAM/PAM/MFA)</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الرصد الأمني (SOC / SIEM)</w:t>
            </w:r>
          </w:p>
        </w:tc>
        <w:tc>
          <w:tcPr>
            <w:tcW w:type="dxa" w:w="3120"/>
          </w:tcPr>
          <w:p>
            <w:pPr>
              <w:jc w:val="right"/>
              <w:bidi w:val="1"/>
            </w:pPr>
            <w:r>
              <w:rPr>
                <w:sz w:val="16"/>
                <w:rtl w:val="1"/>
              </w:rPr>
              <w:t>غياب مركز العمليات الأمنية (SOC) ومنظومة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الاستجابة للحوادث</w:t>
            </w:r>
          </w:p>
        </w:tc>
        <w:tc>
          <w:tcPr>
            <w:tcW w:type="dxa" w:w="3120"/>
          </w:tcPr>
          <w:p>
            <w:pPr>
              <w:jc w:val="right"/>
              <w:bidi w:val="1"/>
            </w:pPr>
            <w:r>
              <w:rPr>
                <w:sz w:val="16"/>
                <w:rtl w:val="1"/>
              </w:rPr>
              <w:t>غياب فريق الاستجابة للحوادث (CSIRT) وإجراءاتها الرسمية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الثغرات</w:t>
            </w:r>
          </w:p>
        </w:tc>
        <w:tc>
          <w:tcPr>
            <w:tcW w:type="dxa" w:w="3120"/>
          </w:tcPr>
          <w:p>
            <w:pPr>
              <w:jc w:val="right"/>
              <w:bidi w:val="1"/>
            </w:pPr>
            <w:r>
              <w:rPr>
                <w:sz w:val="16"/>
                <w:rtl w:val="1"/>
              </w:rPr>
              <w:t>قصور إدارة الثغرات الأمنية ومنع فقدان البيانات (DLP) وضوابط الوصول عن بُعد</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إدارة الأمن السيبراني وتشكيل لجنة حوكمة الأمن السيبراني</w:t>
            </w:r>
          </w:p>
        </w:tc>
        <w:tc>
          <w:tcPr>
            <w:tcW w:type="dxa" w:w="2340"/>
          </w:tcPr>
          <w:p>
            <w:pPr>
              <w:jc w:val="right"/>
              <w:bidi w:val="1"/>
            </w:pPr>
            <w:r>
              <w:rPr>
                <w:sz w:val="16"/>
                <w:rtl w:val="1"/>
              </w:rPr>
              <w:t>نسبة اكتمال الهيكل التنظيمي والسياسات المعتمدة</w:t>
            </w:r>
          </w:p>
        </w:tc>
        <w:tc>
          <w:tcPr>
            <w:tcW w:type="dxa" w:w="2340"/>
          </w:tcPr>
          <w:p>
            <w:pPr>
              <w:jc w:val="right"/>
              <w:bidi w:val="1"/>
            </w:pPr>
            <w:r>
              <w:rPr>
                <w:sz w:val="16"/>
                <w:rtl w:val="1"/>
              </w:rPr>
              <w:t>ضعف الحوكمة أو غياب المساءلة السيبرانية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تطبيق IAM/PAM/MFA</w:t>
            </w:r>
          </w:p>
        </w:tc>
        <w:tc>
          <w:tcPr>
            <w:tcW w:type="dxa" w:w="2340"/>
          </w:tcPr>
          <w:p>
            <w:pPr>
              <w:jc w:val="right"/>
              <w:bidi w:val="1"/>
            </w:pPr>
            <w:r>
              <w:rPr>
                <w:sz w:val="16"/>
                <w:rtl w:val="1"/>
              </w:rPr>
              <w:t>نسبة تطبيق المصادقة متعددة العوامل MFA للوصول المميز</w:t>
            </w:r>
          </w:p>
        </w:tc>
        <w:tc>
          <w:tcPr>
            <w:tcW w:type="dxa" w:w="2340"/>
          </w:tcPr>
          <w:p>
            <w:pPr>
              <w:jc w:val="right"/>
              <w:bidi w:val="1"/>
            </w:pPr>
            <w:r>
              <w:rPr>
                <w:sz w:val="16"/>
                <w:rtl w:val="1"/>
              </w:rPr>
              <w:t>اختراق أنظمة التحكم في الوصول والهوية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مركز العمليات الأمنية SOC وتفعيل SIEM</w:t>
            </w:r>
          </w:p>
        </w:tc>
        <w:tc>
          <w:tcPr>
            <w:tcW w:type="dxa" w:w="2340"/>
          </w:tcPr>
          <w:p>
            <w:pPr>
              <w:jc w:val="right"/>
              <w:bidi w:val="1"/>
            </w:pPr>
            <w:r>
              <w:rPr>
                <w:sz w:val="16"/>
                <w:rtl w:val="1"/>
              </w:rPr>
              <w:t>متوسط زمن كشف الحوادث الأمنية الحرجة</w:t>
            </w:r>
          </w:p>
        </w:tc>
        <w:tc>
          <w:tcPr>
            <w:tcW w:type="dxa" w:w="2340"/>
          </w:tcPr>
          <w:p>
            <w:pPr>
              <w:jc w:val="right"/>
              <w:bidi w:val="1"/>
            </w:pPr>
            <w:r>
              <w:rPr>
                <w:sz w:val="16"/>
                <w:rtl w:val="1"/>
              </w:rPr>
              <w:t>فشل آليات الكشف المبكر للتهديدات المتقدمة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فريق CSIRT وتطوير خطة الاستجابة للحوادث</w:t>
            </w:r>
          </w:p>
        </w:tc>
        <w:tc>
          <w:tcPr>
            <w:tcW w:type="dxa" w:w="2340"/>
          </w:tcPr>
          <w:p>
            <w:pPr>
              <w:jc w:val="right"/>
              <w:bidi w:val="1"/>
            </w:pPr>
            <w:r>
              <w:rPr>
                <w:sz w:val="16"/>
                <w:rtl w:val="1"/>
              </w:rPr>
              <w:t>متوسط زمن الاستجابة للحوادث الحرجة</w:t>
            </w:r>
          </w:p>
        </w:tc>
        <w:tc>
          <w:tcPr>
            <w:tcW w:type="dxa" w:w="2340"/>
          </w:tcPr>
          <w:p>
            <w:pPr>
              <w:jc w:val="right"/>
              <w:bidi w:val="1"/>
            </w:pPr>
            <w:r>
              <w:rPr>
                <w:sz w:val="16"/>
                <w:rtl w:val="1"/>
              </w:rPr>
              <w:t>تأخر احتواء الحوادث أو ضعف الاستجابة للحوادث</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تنفيذ برنامج إدارة الثغرات الأمنية وفحص الثغرات</w:t>
            </w:r>
          </w:p>
        </w:tc>
        <w:tc>
          <w:tcPr>
            <w:tcW w:type="dxa" w:w="2340"/>
          </w:tcPr>
          <w:p>
            <w:pPr>
              <w:jc w:val="right"/>
              <w:bidi w:val="1"/>
            </w:pPr>
            <w:r>
              <w:rPr>
                <w:sz w:val="16"/>
                <w:rtl w:val="1"/>
              </w:rPr>
              <w:t>نسبة الثغرات الحرجة المعالجة خلال SLA المحدد</w:t>
            </w:r>
          </w:p>
        </w:tc>
        <w:tc>
          <w:tcPr>
            <w:tcW w:type="dxa" w:w="2340"/>
          </w:tcPr>
          <w:p>
            <w:pPr>
              <w:jc w:val="right"/>
              <w:bidi w:val="1"/>
            </w:pPr>
            <w:r>
              <w:rPr>
                <w:sz w:val="16"/>
                <w:rtl w:val="1"/>
              </w:rPr>
              <w:t>استغلال الثغرات الحرجة في الأنظمة الحكومية</w:t>
            </w:r>
          </w:p>
        </w:tc>
      </w:tr>
    </w:tbl>
    <w:p/>
    <w:p>
      <w:r>
        <w:br w:type="page"/>
      </w:r>
    </w:p>
    <w:p>
      <w:pPr>
        <w:spacing w:before="160" w:after="40"/>
        <w:jc w:val="right"/>
        <w:bidi w:val="1"/>
      </w:pPr>
      <w:r>
        <w:rPr>
          <w:b/>
          <w:color w:val="1D2B4F"/>
          <w:sz w:val="28"/>
          <w:rtl w:val="1"/>
        </w:rPr>
        <w:t>الملاحق</w:t>
      </w:r>
    </w:p>
    <w:p>
      <w:pPr>
        <w:pBdr>
          <w:bottom w:val="single" w:sz="12" w:space="2" w:color="D04A02"/>
        </w:pBdr>
        <w:spacing w:after="160"/>
      </w:pPr>
    </w:p>
    <w:p>
      <w:pPr>
        <w:jc w:val="right"/>
        <w:bidi w:val="1"/>
      </w:pPr>
      <w:r>
        <w:rPr>
          <w:b/>
          <w:color w:val="1D2B4F"/>
          <w:sz w:val="20"/>
          <w:rtl w:val="1"/>
        </w:rPr>
        <w:t>الملحق أ — الأطر المرجعية</w:t>
      </w:r>
    </w:p>
    <w:p>
      <w:pPr>
        <w:spacing w:after="120"/>
        <w:jc w:val="right"/>
        <w:bidi w:val="1"/>
      </w:pPr>
      <w:r>
        <w:rPr>
          <w:sz w:val="20"/>
          <w:rtl w:val="1"/>
        </w:rPr>
        <w:t>الأطر المرجعية المستخدمة في إعداد هذه الوثيقة:</w:t>
      </w:r>
    </w:p>
    <w:p>
      <w:pPr>
        <w:spacing w:after="120"/>
        <w:jc w:val="right"/>
        <w:bidi w:val="1"/>
      </w:pPr>
      <w:r>
        <w:rPr>
          <w:sz w:val="20"/>
          <w:rtl w:val="1"/>
        </w:rPr>
        <w:t>• ECC: NCA ECC (Essential Cybersecurity Controls)</w:t>
      </w:r>
    </w:p>
    <w:p>
      <w:pPr>
        <w:spacing w:after="120"/>
        <w:jc w:val="right"/>
        <w:bidi w:val="1"/>
      </w:pPr>
      <w:r>
        <w:rPr>
          <w:sz w:val="20"/>
          <w:rtl w:val="1"/>
        </w:rPr>
        <w:t>• DCC: NCA DCC (Data Cybersecurity Controls)</w:t>
      </w:r>
    </w:p>
    <w:p>
      <w:pPr>
        <w:jc w:val="right"/>
        <w:bidi w:val="1"/>
      </w:pPr>
      <w:r>
        <w:rPr>
          <w:b/>
          <w:color w:val="1D2B4F"/>
          <w:sz w:val="20"/>
          <w:rtl w:val="1"/>
        </w:rPr>
        <w:t>الملحق ب — قاموس المصطلحات</w:t>
      </w:r>
    </w:p>
    <w:p>
      <w:pPr>
        <w:spacing w:after="120"/>
        <w:jc w:val="right"/>
        <w:bidi w:val="1"/>
      </w:pPr>
      <w:r>
        <w:rPr>
          <w:sz w:val="20"/>
          <w:rtl w:val="1"/>
        </w:rPr>
        <w:t>تعريفات المصطلحات والاختصارات المستخدمة في هذه الوثيقة:</w:t>
      </w:r>
    </w:p>
    <w:p>
      <w:pPr>
        <w:spacing w:after="120"/>
        <w:jc w:val="right"/>
        <w:bidi w:val="1"/>
      </w:pPr>
      <w:r>
        <w:rPr>
          <w:sz w:val="20"/>
          <w:rtl w:val="1"/>
        </w:rPr>
        <w:t>• ECC: الضوابط الأساسية للأمن السيبراني (NCA)</w:t>
      </w:r>
    </w:p>
    <w:p>
      <w:pPr>
        <w:spacing w:after="120"/>
        <w:jc w:val="right"/>
        <w:bidi w:val="1"/>
      </w:pPr>
      <w:r>
        <w:rPr>
          <w:sz w:val="20"/>
          <w:rtl w:val="1"/>
        </w:rPr>
        <w:t>• DCC: ضوابط الأمن السيبراني للبيانات (NCA)</w:t>
      </w:r>
    </w:p>
    <w:p>
      <w:pPr>
        <w:spacing w:after="120"/>
        <w:jc w:val="right"/>
        <w:bidi w:val="1"/>
      </w:pPr>
      <w:r>
        <w:rPr>
          <w:sz w:val="20"/>
          <w:rtl w:val="1"/>
        </w:rPr>
        <w:t>• MFA: المصادقة متعددة العوامل</w:t>
      </w:r>
    </w:p>
    <w:p>
      <w:pPr>
        <w:spacing w:after="120"/>
        <w:jc w:val="right"/>
        <w:bidi w:val="1"/>
      </w:pPr>
      <w:r>
        <w:rPr>
          <w:sz w:val="20"/>
          <w:rtl w:val="1"/>
        </w:rPr>
        <w:t>• VPN: الشبكة الافتراضية الخاصة</w:t>
      </w:r>
    </w:p>
    <w:p>
      <w:pPr>
        <w:spacing w:after="120"/>
        <w:jc w:val="right"/>
        <w:bidi w:val="1"/>
      </w:pPr>
      <w:r>
        <w:rPr>
          <w:sz w:val="20"/>
          <w:rtl w:val="1"/>
        </w:rPr>
        <w:t>• IAM: إدارة الهوية والوصول</w:t>
      </w:r>
    </w:p>
    <w:p>
      <w:pPr>
        <w:spacing w:after="120"/>
        <w:jc w:val="right"/>
        <w:bidi w:val="1"/>
      </w:pPr>
      <w:r>
        <w:rPr>
          <w:sz w:val="20"/>
          <w:rtl w:val="1"/>
        </w:rPr>
        <w:t>• PAM: إدارة الوصول المميز</w:t>
      </w:r>
    </w:p>
    <w:p>
      <w:pPr>
        <w:spacing w:after="120"/>
        <w:jc w:val="right"/>
        <w:bidi w:val="1"/>
      </w:pPr>
      <w:r>
        <w:rPr>
          <w:sz w:val="20"/>
          <w:rtl w:val="1"/>
        </w:rPr>
        <w:t>• SOC: مركز العمليات الأمنية</w:t>
      </w:r>
    </w:p>
    <w:p>
      <w:pPr>
        <w:spacing w:after="120"/>
        <w:jc w:val="right"/>
        <w:bidi w:val="1"/>
      </w:pPr>
      <w:r>
        <w:rPr>
          <w:sz w:val="20"/>
          <w:rtl w:val="1"/>
        </w:rPr>
        <w:t>• SIEM: إدارة المعلومات والأحداث الأمنية</w:t>
      </w:r>
    </w:p>
    <w:p>
      <w:pPr>
        <w:spacing w:after="120"/>
        <w:jc w:val="right"/>
        <w:bidi w:val="1"/>
      </w:pPr>
      <w:r>
        <w:rPr>
          <w:sz w:val="20"/>
          <w:rtl w:val="1"/>
        </w:rPr>
        <w:t>• CSIRT: فريق الاستجابة لحوادث الأمن السيبراني</w:t>
      </w:r>
    </w:p>
    <w:p>
      <w:pPr>
        <w:spacing w:after="120"/>
        <w:jc w:val="right"/>
        <w:bidi w:val="1"/>
      </w:pPr>
      <w:r>
        <w:rPr>
          <w:sz w:val="20"/>
          <w:rtl w:val="1"/>
        </w:rPr>
        <w:t>• DLP: منع تسرب البيانات</w:t>
      </w:r>
    </w:p>
    <w:p>
      <w:pPr>
        <w:spacing w:after="120"/>
        <w:jc w:val="right"/>
        <w:bidi w:val="1"/>
      </w:pPr>
      <w:r>
        <w:rPr>
          <w:sz w:val="20"/>
          <w:rtl w:val="1"/>
        </w:rPr>
        <w:t>• KRI: مؤشر المخاطر الرئيسي</w:t>
      </w:r>
    </w:p>
    <w:p>
      <w:pPr>
        <w:spacing w:after="120"/>
        <w:jc w:val="right"/>
        <w:bidi w:val="1"/>
      </w:pPr>
      <w:r>
        <w:rPr>
          <w:sz w:val="20"/>
          <w:rtl w:val="1"/>
        </w:rPr>
        <w:t>• Data Classification: تصنيف البيانات</w:t>
      </w:r>
    </w:p>
    <w:p>
      <w:pPr>
        <w:spacing w:after="120"/>
        <w:jc w:val="right"/>
        <w:bidi w:val="1"/>
      </w:pPr>
      <w:r>
        <w:rPr>
          <w:sz w:val="20"/>
          <w:rtl w:val="1"/>
        </w:rPr>
        <w:t>• EDR: كشف التهديدات والاستجابة في النقاط الطرفية</w:t>
      </w:r>
    </w:p>
    <w:p>
      <w:pPr>
        <w:spacing w:after="120"/>
        <w:jc w:val="right"/>
        <w:bidi w:val="1"/>
      </w:pPr>
      <w:r>
        <w:rPr>
          <w:sz w:val="20"/>
          <w:rtl w:val="1"/>
        </w:rPr>
        <w:t>• KPI: مؤشر الأداء الرئيسي</w:t>
      </w:r>
    </w:p>
    <w:p>
      <w:r>
        <w:br w:type="page"/>
      </w:r>
    </w:p>
    <w:sectPr w:rsidR="00FC693F" w:rsidRPr="0006063C" w:rsidSect="00034616">
      <w:footerReference w:type="default" r:id="rId9"/>
      <w:pgSz w:w="12240" w:h="15840"/>
      <w:pgMar w:top="1440" w:right="1440" w:bottom="108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color w:val="999999"/>
        <w:sz w:val="20"/>
      </w:rPr>
      <w:fldChar w:fldCharType="begin"/>
    </w:r>
    <w:r>
      <w:rPr>
        <w:sz w:val="20"/>
      </w:rPr>
      <w:instrText xml:space="preserve"> PAGE </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D2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D2B4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D04A0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D2B4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