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1440" w:right="-1440"/>
        <w:jc w:val="center"/>
        <w:pBdr>
          <w:top w:val="single" w:sz="0" w:space="0" w:color="1D2B4F"/>
          <w:bottom w:val="single" w:sz="0" w:space="0" w:color="1D2B4F"/>
        </w:pBdr>
        <w:shd w:val="clear" w:color="auto" w:fill="1D2B4F"/>
      </w:pPr>
      <w:r>
        <w:rPr>
          <w:rFonts w:ascii="Arial" w:hAnsi="Arial"/>
          <w:b/>
          <w:color w:val="FFFFFF"/>
          <w:sz w:val="20"/>
        </w:rPr>
        <w:t>منظمتي</w:t>
      </w:r>
    </w:p>
    <w:p/>
    <w:p>
      <w:pPr>
        <w:spacing w:before="360" w:after="80"/>
        <w:jc w:val="right"/>
      </w:pPr>
      <w:r>
        <w:rPr>
          <w:rFonts w:ascii="Arial" w:hAnsi="Arial"/>
          <w:b/>
          <w:color w:val="1D2B4F"/>
          <w:sz w:val="44"/>
        </w:rPr>
        <w:t>وثيقة استراتيجية</w:t>
      </w:r>
    </w:p>
    <w:p>
      <w:pPr>
        <w:spacing w:after="120"/>
        <w:jc w:val="right"/>
      </w:pPr>
      <w:r>
        <w:rPr>
          <w:rFonts w:ascii="Arial" w:hAnsi="Arial"/>
          <w:color w:val="445463"/>
          <w:sz w:val="26"/>
        </w:rPr>
        <w:t>الأمن السيبراني</w:t>
      </w:r>
    </w:p>
    <w:p>
      <w:pPr>
        <w:pBdr>
          <w:bottom w:val="single" w:sz="18" w:space="1" w:color="D04A02"/>
        </w:pBdr>
        <w:spacing w:after="240"/>
      </w:pPr>
    </w:p>
    <w:tbl>
      <w:tblPr>
        <w:tblStyle w:val="TableGrid"/>
        <w:tblLook w:firstColumn="1" w:firstRow="1" w:lastColumn="0" w:lastRow="0" w:noHBand="0" w:noVBand="1" w:val="04A0"/>
        <w:tblW w:type="pct" w:w="5000"/>
        <w:tblLayout w:type="fixed"/>
        <w:tblBorders>
          <w:top w:val="single" w:sz="4" w:color="D1D5DB"/>
          <w:left w:val="single" w:sz="4" w:color="D1D5DB"/>
          <w:bottom w:val="single" w:sz="4" w:color="D1D5DB"/>
          <w:right w:val="single" w:sz="4" w:color="D1D5DB"/>
          <w:insideH w:val="single" w:sz="4" w:color="D1D5DB"/>
          <w:insideV w:val="single" w:sz="4" w:color="D1D5DB"/>
        </w:tblBorders>
      </w:tblPr>
      <w:tblGrid>
        <w:gridCol w:w="4680"/>
        <w:gridCol w:w="4680"/>
      </w:tblGrid>
      <w:tr>
        <w:tc>
          <w:tcPr>
            <w:tcW w:type="dxa" w:w="4680"/>
            <w:shd w:val="clear" w:color="auto" w:fill="F3F4F6"/>
          </w:tcPr>
          <w:p>
            <w:r/>
            <w:r>
              <w:rPr>
                <w:rFonts w:ascii="Arial" w:hAnsi="Arial"/>
                <w:b/>
                <w:color w:val="1D2B4F"/>
                <w:sz w:val="20"/>
              </w:rPr>
              <w:t>نوع الوثيقة</w:t>
            </w:r>
          </w:p>
        </w:tc>
        <w:tc>
          <w:tcPr>
            <w:tcW w:type="dxa" w:w="4680"/>
            <w:shd w:val="clear" w:color="auto" w:fill="F3F4F6"/>
          </w:tcPr>
          <w:p>
            <w:r/>
            <w:r>
              <w:rPr>
                <w:rFonts w:ascii="Arial" w:hAnsi="Arial"/>
                <w:sz w:val="20"/>
              </w:rPr>
              <w:t>وثيقة استراتيجية</w:t>
            </w:r>
          </w:p>
        </w:tc>
      </w:tr>
      <w:tr>
        <w:tc>
          <w:tcPr>
            <w:tcW w:type="dxa" w:w="4680"/>
            <w:shd w:val="clear" w:color="auto" w:fill="F8F9FA"/>
          </w:tcPr>
          <w:p>
            <w:r/>
            <w:r>
              <w:rPr>
                <w:rFonts w:ascii="Arial" w:hAnsi="Arial"/>
                <w:b/>
                <w:color w:val="1D2B4F"/>
                <w:sz w:val="20"/>
              </w:rPr>
              <w:t>القطاع</w:t>
            </w:r>
          </w:p>
        </w:tc>
        <w:tc>
          <w:tcPr>
            <w:tcW w:type="dxa" w:w="4680"/>
            <w:shd w:val="clear" w:color="auto" w:fill="F8F9FA"/>
          </w:tcPr>
          <w:p>
            <w:r/>
            <w:r>
              <w:rPr>
                <w:rFonts w:ascii="Arial" w:hAnsi="Arial"/>
                <w:sz w:val="20"/>
              </w:rPr>
              <w:t>حكومي</w:t>
            </w:r>
          </w:p>
        </w:tc>
      </w:tr>
      <w:tr>
        <w:tc>
          <w:tcPr>
            <w:tcW w:type="dxa" w:w="4680"/>
            <w:shd w:val="clear" w:color="auto" w:fill="F3F4F6"/>
          </w:tcPr>
          <w:p>
            <w:r/>
            <w:r>
              <w:rPr>
                <w:rFonts w:ascii="Arial" w:hAnsi="Arial"/>
                <w:b/>
                <w:color w:val="1D2B4F"/>
                <w:sz w:val="20"/>
              </w:rPr>
              <w:t>التصنيف</w:t>
            </w:r>
          </w:p>
        </w:tc>
        <w:tc>
          <w:tcPr>
            <w:tcW w:type="dxa" w:w="4680"/>
            <w:shd w:val="clear" w:color="auto" w:fill="F3F4F6"/>
          </w:tcPr>
          <w:p>
            <w:r/>
            <w:r>
              <w:rPr>
                <w:rFonts w:ascii="Arial" w:hAnsi="Arial"/>
                <w:sz w:val="20"/>
              </w:rPr>
              <w:t>سري</w:t>
            </w:r>
          </w:p>
        </w:tc>
      </w:tr>
      <w:tr>
        <w:tc>
          <w:tcPr>
            <w:tcW w:type="dxa" w:w="4680"/>
            <w:shd w:val="clear" w:color="auto" w:fill="F8F9FA"/>
          </w:tcPr>
          <w:p>
            <w:r/>
            <w:r>
              <w:rPr>
                <w:rFonts w:ascii="Arial" w:hAnsi="Arial"/>
                <w:b/>
                <w:color w:val="1D2B4F"/>
                <w:sz w:val="20"/>
              </w:rPr>
              <w:t>الإصدار</w:t>
            </w:r>
          </w:p>
        </w:tc>
        <w:tc>
          <w:tcPr>
            <w:tcW w:type="dxa" w:w="4680"/>
            <w:shd w:val="clear" w:color="auto" w:fill="F8F9FA"/>
          </w:tcPr>
          <w:p>
            <w:r/>
            <w:r>
              <w:rPr>
                <w:rFonts w:ascii="Arial" w:hAnsi="Arial"/>
                <w:sz w:val="20"/>
              </w:rPr>
              <w:t>1.0</w:t>
            </w:r>
          </w:p>
        </w:tc>
      </w:tr>
      <w:tr>
        <w:tc>
          <w:tcPr>
            <w:tcW w:type="dxa" w:w="4680"/>
            <w:shd w:val="clear" w:color="auto" w:fill="F3F4F6"/>
          </w:tcPr>
          <w:p>
            <w:r/>
            <w:r>
              <w:rPr>
                <w:rFonts w:ascii="Arial" w:hAnsi="Arial"/>
                <w:b/>
                <w:color w:val="1D2B4F"/>
                <w:sz w:val="20"/>
              </w:rPr>
              <w:t>الحالة</w:t>
            </w:r>
          </w:p>
        </w:tc>
        <w:tc>
          <w:tcPr>
            <w:tcW w:type="dxa" w:w="4680"/>
            <w:shd w:val="clear" w:color="auto" w:fill="F3F4F6"/>
          </w:tcPr>
          <w:p>
            <w:r/>
            <w:r>
              <w:rPr>
                <w:rFonts w:ascii="Arial" w:hAnsi="Arial"/>
                <w:sz w:val="20"/>
              </w:rPr>
              <w:t>مسودة</w:t>
            </w:r>
          </w:p>
        </w:tc>
      </w:tr>
      <w:tr>
        <w:tc>
          <w:tcPr>
            <w:tcW w:type="dxa" w:w="4680"/>
            <w:shd w:val="clear" w:color="auto" w:fill="F8F9FA"/>
          </w:tcPr>
          <w:p>
            <w:r/>
            <w:r>
              <w:rPr>
                <w:rFonts w:ascii="Arial" w:hAnsi="Arial"/>
                <w:b/>
                <w:color w:val="1D2B4F"/>
                <w:sz w:val="20"/>
              </w:rPr>
              <w:t>تاريخ الإعداد</w:t>
            </w:r>
          </w:p>
        </w:tc>
        <w:tc>
          <w:tcPr>
            <w:tcW w:type="dxa" w:w="4680"/>
            <w:shd w:val="clear" w:color="auto" w:fill="F8F9FA"/>
          </w:tcPr>
          <w:p>
            <w:r/>
            <w:r>
              <w:rPr>
                <w:rFonts w:ascii="Arial" w:hAnsi="Arial"/>
                <w:sz w:val="20"/>
              </w:rPr>
              <w:t>17 June 2026</w:t>
            </w:r>
          </w:p>
        </w:tc>
      </w:tr>
      <w:tr>
        <w:tc>
          <w:tcPr>
            <w:tcW w:type="dxa" w:w="4680"/>
            <w:shd w:val="clear" w:color="auto" w:fill="F3F4F6"/>
          </w:tcPr>
          <w:p>
            <w:r/>
            <w:r>
              <w:rPr>
                <w:rFonts w:ascii="Arial" w:hAnsi="Arial"/>
                <w:b/>
                <w:color w:val="1D2B4F"/>
                <w:sz w:val="20"/>
              </w:rPr>
              <w:t>أعد بواسطة</w:t>
            </w:r>
          </w:p>
        </w:tc>
        <w:tc>
          <w:tcPr>
            <w:tcW w:type="dxa" w:w="4680"/>
            <w:shd w:val="clear" w:color="auto" w:fill="F3F4F6"/>
          </w:tcPr>
          <w:p>
            <w:r/>
            <w:r>
              <w:rPr>
                <w:rFonts w:ascii="Arial" w:hAnsi="Arial"/>
                <w:sz w:val="20"/>
              </w:rPr>
              <w:t>منصة ميزان GRC</w:t>
            </w:r>
          </w:p>
        </w:tc>
      </w:tr>
    </w:tbl>
    <w:p/>
    <w:p>
      <w:pPr>
        <w:pBdr>
          <w:top w:val="single" w:sz="12" w:space="1" w:color="1D2B4F"/>
        </w:pBdr>
        <w:spacing w:before="160"/>
        <w:jc w:val="center"/>
      </w:pPr>
      <w:r>
        <w:rPr>
          <w:rFonts w:ascii="Arial" w:hAnsi="Arial"/>
          <w:color w:val="1D2B4F"/>
          <w:sz w:val="20"/>
        </w:rPr>
        <w:t>الحوكمة • المخاطر • الامتثال</w:t>
      </w:r>
    </w:p>
    <w:p>
      <w:r>
        <w:br w:type="page"/>
      </w:r>
    </w:p>
    <w:p>
      <w:pPr>
        <w:pStyle w:val="Heading1"/>
        <w:jc w:val="right"/>
      </w:pPr>
      <w:r>
        <w:rPr>
          <w:rFonts w:ascii="Arial" w:hAnsi="Arial"/>
          <w:color w:val="1D2B4F"/>
          <w:sz w:val="20"/>
        </w:rPr>
        <w:t>المحتويات</w:t>
      </w:r>
    </w:p>
    <w:p>
      <w:pPr>
        <w:pBdr>
          <w:bottom w:val="single" w:sz="8" w:space="1" w:color="1D2B4F"/>
        </w:pBdr>
        <w:spacing w:after="120"/>
      </w:pPr>
    </w:p>
    <w:p>
      <w:pPr>
        <w:spacing w:before="80" w:after="80"/>
        <w:jc w:val="right"/>
        <w:pBdr>
          <w:bottom w:val="dotted" w:sz="4" w:space="1" w:color="D1D5DB"/>
        </w:pBdr>
      </w:pPr>
      <w:r>
        <w:rPr>
          <w:rFonts w:ascii="Arial" w:hAnsi="Arial"/>
          <w:b/>
          <w:color w:val="1D2B4F"/>
          <w:sz w:val="20"/>
        </w:rPr>
        <w:t xml:space="preserve">1  </w:t>
      </w:r>
      <w:r>
        <w:rPr>
          <w:rFonts w:ascii="Arial" w:hAnsi="Arial"/>
          <w:sz w:val="20"/>
        </w:rPr>
        <w:t>الملخص التنفيذي</w:t>
      </w:r>
    </w:p>
    <w:p>
      <w:pPr>
        <w:spacing w:before="80" w:after="80"/>
        <w:jc w:val="right"/>
        <w:pBdr>
          <w:bottom w:val="dotted" w:sz="4" w:space="1" w:color="D1D5DB"/>
        </w:pBdr>
      </w:pPr>
      <w:r>
        <w:rPr>
          <w:rFonts w:ascii="Arial" w:hAnsi="Arial"/>
          <w:b/>
          <w:color w:val="1D2B4F"/>
          <w:sz w:val="20"/>
        </w:rPr>
        <w:t xml:space="preserve">2  </w:t>
      </w:r>
      <w:r>
        <w:rPr>
          <w:rFonts w:ascii="Arial" w:hAnsi="Arial"/>
          <w:sz w:val="20"/>
        </w:rPr>
        <w:t>النطاق والأطر المرجعية المعتمدة</w:t>
      </w:r>
    </w:p>
    <w:p>
      <w:pPr>
        <w:spacing w:before="80" w:after="80"/>
        <w:jc w:val="right"/>
        <w:pBdr>
          <w:bottom w:val="dotted" w:sz="4" w:space="1" w:color="D1D5DB"/>
        </w:pBdr>
      </w:pPr>
      <w:r>
        <w:rPr>
          <w:rFonts w:ascii="Arial" w:hAnsi="Arial"/>
          <w:b/>
          <w:color w:val="1D2B4F"/>
          <w:sz w:val="20"/>
        </w:rPr>
        <w:t xml:space="preserve">3  </w:t>
      </w:r>
      <w:r>
        <w:rPr>
          <w:rFonts w:ascii="Arial" w:hAnsi="Arial"/>
          <w:sz w:val="20"/>
        </w:rPr>
        <w:t>المنهجية</w:t>
      </w:r>
    </w:p>
    <w:p>
      <w:pPr>
        <w:spacing w:before="80" w:after="80"/>
        <w:jc w:val="right"/>
        <w:pBdr>
          <w:bottom w:val="dotted" w:sz="4" w:space="1" w:color="D1D5DB"/>
        </w:pBdr>
      </w:pPr>
      <w:r>
        <w:rPr>
          <w:rFonts w:ascii="Arial" w:hAnsi="Arial"/>
          <w:b/>
          <w:color w:val="1D2B4F"/>
          <w:sz w:val="20"/>
        </w:rPr>
        <w:t xml:space="preserve">4  </w:t>
      </w:r>
      <w:r>
        <w:rPr>
          <w:rFonts w:ascii="Arial" w:hAnsi="Arial"/>
          <w:sz w:val="20"/>
        </w:rPr>
        <w:t>ملخص الوضع الراهن ومستوى النضج</w:t>
      </w:r>
    </w:p>
    <w:p>
      <w:pPr>
        <w:spacing w:before="80" w:after="80"/>
        <w:jc w:val="right"/>
        <w:pBdr>
          <w:bottom w:val="dotted" w:sz="4" w:space="1" w:color="D1D5DB"/>
        </w:pBdr>
      </w:pPr>
      <w:r>
        <w:rPr>
          <w:rFonts w:ascii="Arial" w:hAnsi="Arial"/>
          <w:b/>
          <w:color w:val="1D2B4F"/>
          <w:sz w:val="20"/>
        </w:rPr>
        <w:t xml:space="preserve">5  </w:t>
      </w:r>
      <w:r>
        <w:rPr>
          <w:rFonts w:ascii="Arial" w:hAnsi="Arial"/>
          <w:sz w:val="20"/>
        </w:rPr>
        <w:t>الرؤية والأهداف الاستراتيجية</w:t>
      </w:r>
    </w:p>
    <w:p>
      <w:pPr>
        <w:spacing w:before="80" w:after="80"/>
        <w:jc w:val="right"/>
        <w:pBdr>
          <w:bottom w:val="dotted" w:sz="4" w:space="1" w:color="D1D5DB"/>
        </w:pBdr>
      </w:pPr>
      <w:r>
        <w:rPr>
          <w:rFonts w:ascii="Arial" w:hAnsi="Arial"/>
          <w:b/>
          <w:color w:val="1D2B4F"/>
          <w:sz w:val="20"/>
        </w:rPr>
        <w:t xml:space="preserve">6  </w:t>
      </w:r>
      <w:r>
        <w:rPr>
          <w:rFonts w:ascii="Arial" w:hAnsi="Arial"/>
          <w:sz w:val="20"/>
        </w:rPr>
        <w:t>الركائز الاستراتيجية</w:t>
      </w:r>
    </w:p>
    <w:p>
      <w:pPr>
        <w:spacing w:before="80" w:after="80"/>
        <w:jc w:val="right"/>
        <w:pBdr>
          <w:bottom w:val="dotted" w:sz="4" w:space="1" w:color="D1D5DB"/>
        </w:pBdr>
      </w:pPr>
      <w:r>
        <w:rPr>
          <w:rFonts w:ascii="Arial" w:hAnsi="Arial"/>
          <w:b/>
          <w:color w:val="1D2B4F"/>
          <w:sz w:val="20"/>
        </w:rPr>
        <w:t xml:space="preserve">7  </w:t>
      </w:r>
      <w:r>
        <w:rPr>
          <w:rFonts w:ascii="Arial" w:hAnsi="Arial"/>
          <w:sz w:val="20"/>
        </w:rPr>
        <w:t>البيئة التنظيمية والتهديدات</w:t>
      </w:r>
    </w:p>
    <w:p>
      <w:pPr>
        <w:spacing w:before="80" w:after="80"/>
        <w:jc w:val="right"/>
        <w:pBdr>
          <w:bottom w:val="dotted" w:sz="4" w:space="1" w:color="D1D5DB"/>
        </w:pBdr>
      </w:pPr>
      <w:r>
        <w:rPr>
          <w:rFonts w:ascii="Arial" w:hAnsi="Arial"/>
          <w:b/>
          <w:color w:val="1D2B4F"/>
          <w:sz w:val="20"/>
        </w:rPr>
        <w:t xml:space="preserve">8  </w:t>
      </w:r>
      <w:r>
        <w:rPr>
          <w:rFonts w:ascii="Arial" w:hAnsi="Arial"/>
          <w:sz w:val="20"/>
        </w:rPr>
        <w:t>تحليل الفجوات</w:t>
      </w:r>
    </w:p>
    <w:p>
      <w:pPr>
        <w:spacing w:before="80" w:after="80"/>
        <w:jc w:val="right"/>
        <w:pBdr>
          <w:bottom w:val="dotted" w:sz="4" w:space="1" w:color="D1D5DB"/>
        </w:pBdr>
      </w:pPr>
      <w:r>
        <w:rPr>
          <w:rFonts w:ascii="Arial" w:hAnsi="Arial"/>
          <w:b/>
          <w:color w:val="1D2B4F"/>
          <w:sz w:val="20"/>
        </w:rPr>
        <w:t xml:space="preserve">9  </w:t>
      </w:r>
      <w:r>
        <w:rPr>
          <w:rFonts w:ascii="Arial" w:hAnsi="Arial"/>
          <w:sz w:val="20"/>
        </w:rPr>
        <w:t>خارطة الطريق التنفيذية</w:t>
      </w:r>
    </w:p>
    <w:p>
      <w:pPr>
        <w:spacing w:before="80" w:after="80"/>
        <w:jc w:val="right"/>
        <w:pBdr>
          <w:bottom w:val="dotted" w:sz="4" w:space="1" w:color="D1D5DB"/>
        </w:pBdr>
      </w:pPr>
      <w:r>
        <w:rPr>
          <w:rFonts w:ascii="Arial" w:hAnsi="Arial"/>
          <w:b/>
          <w:color w:val="1D2B4F"/>
          <w:sz w:val="20"/>
        </w:rPr>
        <w:t xml:space="preserve">10  </w:t>
      </w:r>
      <w:r>
        <w:rPr>
          <w:rFonts w:ascii="Arial" w:hAnsi="Arial"/>
          <w:sz w:val="20"/>
        </w:rPr>
        <w:t>مؤشرات الأداء الرئيسية</w:t>
      </w:r>
    </w:p>
    <w:p>
      <w:pPr>
        <w:spacing w:before="80" w:after="80"/>
        <w:jc w:val="right"/>
        <w:pBdr>
          <w:bottom w:val="dotted" w:sz="4" w:space="1" w:color="D1D5DB"/>
        </w:pBdr>
      </w:pPr>
      <w:r>
        <w:rPr>
          <w:rFonts w:ascii="Arial" w:hAnsi="Arial"/>
          <w:b/>
          <w:color w:val="1D2B4F"/>
          <w:sz w:val="20"/>
        </w:rPr>
        <w:t xml:space="preserve">11  </w:t>
      </w:r>
      <w:r>
        <w:rPr>
          <w:rFonts w:ascii="Arial" w:hAnsi="Arial"/>
          <w:sz w:val="20"/>
        </w:rPr>
        <w:t>تقييم الثقة والمخاطر</w:t>
      </w:r>
    </w:p>
    <w:p>
      <w:pPr>
        <w:spacing w:before="80" w:after="80"/>
        <w:jc w:val="right"/>
        <w:pBdr>
          <w:bottom w:val="dotted" w:sz="4" w:space="1" w:color="D1D5DB"/>
        </w:pBdr>
      </w:pPr>
      <w:r>
        <w:rPr>
          <w:rFonts w:ascii="Arial" w:hAnsi="Arial"/>
          <w:b/>
          <w:color w:val="1D2B4F"/>
          <w:sz w:val="20"/>
        </w:rPr>
        <w:t xml:space="preserve">12  </w:t>
      </w:r>
      <w:r>
        <w:rPr>
          <w:rFonts w:ascii="Arial" w:hAnsi="Arial"/>
          <w:sz w:val="20"/>
        </w:rPr>
        <w:t>نموذج الحوكمة والمسؤوليات</w:t>
      </w:r>
    </w:p>
    <w:p>
      <w:pPr>
        <w:spacing w:before="80" w:after="80"/>
        <w:jc w:val="right"/>
        <w:pBdr>
          <w:bottom w:val="dotted" w:sz="4" w:space="1" w:color="D1D5DB"/>
        </w:pBdr>
      </w:pPr>
      <w:r>
        <w:rPr>
          <w:rFonts w:ascii="Arial" w:hAnsi="Arial"/>
          <w:b/>
          <w:color w:val="1D2B4F"/>
          <w:sz w:val="20"/>
        </w:rPr>
        <w:t xml:space="preserve">13  </w:t>
      </w:r>
      <w:r>
        <w:rPr>
          <w:rFonts w:ascii="Arial" w:hAnsi="Arial"/>
          <w:sz w:val="20"/>
        </w:rPr>
        <w:t>مصفوفة تتبع الأطر المرجعية</w:t>
      </w:r>
    </w:p>
    <w:p>
      <w:pPr>
        <w:spacing w:before="80" w:after="80"/>
        <w:jc w:val="right"/>
        <w:pBdr>
          <w:bottom w:val="dotted" w:sz="4" w:space="1" w:color="D1D5DB"/>
        </w:pBdr>
      </w:pPr>
      <w:r>
        <w:rPr>
          <w:rFonts w:ascii="Arial" w:hAnsi="Arial"/>
          <w:b/>
          <w:color w:val="1D2B4F"/>
          <w:sz w:val="20"/>
        </w:rPr>
        <w:t xml:space="preserve">14  </w:t>
      </w:r>
      <w:r>
        <w:rPr>
          <w:rFonts w:ascii="Arial" w:hAnsi="Arial"/>
          <w:sz w:val="20"/>
        </w:rPr>
        <w:t>الملاحق</w:t>
      </w:r>
    </w:p>
    <w:p/>
    <w:p>
      <w:r>
        <w:rPr>
          <w:rFonts w:ascii="Arial" w:hAnsi="Arial"/>
          <w:color w:val="718096"/>
          <w:sz w:val="20"/>
        </w:rPr>
        <w:t>هذه الوثيقة سرية ومعدة حصراً للاستخدام الداخلي.</w:t>
      </w:r>
    </w:p>
    <w:p>
      <w:r>
        <w:br w:type="page"/>
      </w:r>
    </w:p>
    <w:p>
      <w:pPr>
        <w:spacing w:before="160" w:after="40"/>
        <w:jc w:val="right"/>
        <w:bidi w:val="1"/>
      </w:pPr>
      <w:r>
        <w:rPr>
          <w:b/>
          <w:color w:val="1D2B4F"/>
          <w:sz w:val="28"/>
          <w:rtl w:val="1"/>
        </w:rPr>
        <w:t>بطاقة ضبط الوثيقة</w:t>
      </w:r>
    </w:p>
    <w:p>
      <w:pPr>
        <w:pBdr>
          <w:bottom w:val="single" w:sz="12" w:space="2" w:color="D04A02"/>
        </w:pBdr>
        <w:spacing w:after="160"/>
      </w:pPr>
    </w:p>
    <w:tbl>
      <w:tblPr>
        <w:tblW w:type="auto" w:w="0"/>
        <w:jc w:val="right"/>
        <w:tblLook w:firstColumn="1" w:firstRow="1" w:lastColumn="0" w:lastRow="0" w:noHBand="0" w:noVBand="1" w:val="04A0"/>
      </w:tblPr>
      <w:tblGrid>
        <w:gridCol w:w="4680"/>
        <w:gridCol w:w="4680"/>
      </w:tblGrid>
      <w:tr>
        <w:tc>
          <w:tcPr>
            <w:tcW w:type="dxa" w:w="4680"/>
            <w:shd w:val="clear" w:color="auto" w:fill="F3F4F6"/>
          </w:tcPr>
          <w:p>
            <w:pPr>
              <w:jc w:val="right"/>
              <w:bidi w:val="1"/>
            </w:pPr>
            <w:r>
              <w:rPr>
                <w:b/>
                <w:sz w:val="18"/>
                <w:rtl w:val="1"/>
              </w:rPr>
              <w:t>المنظمة</w:t>
            </w:r>
          </w:p>
        </w:tc>
        <w:tc>
          <w:tcPr>
            <w:tcW w:type="dxa" w:w="4680"/>
          </w:tcPr>
          <w:p>
            <w:pPr>
              <w:jc w:val="right"/>
              <w:bidi w:val="1"/>
            </w:pPr>
            <w:r>
              <w:rPr>
                <w:b w:val="0"/>
                <w:sz w:val="18"/>
                <w:rtl w:val="1"/>
              </w:rPr>
              <w:t>منظمتي</w:t>
            </w:r>
          </w:p>
        </w:tc>
      </w:tr>
      <w:tr>
        <w:tc>
          <w:tcPr>
            <w:tcW w:type="dxa" w:w="4680"/>
            <w:shd w:val="clear" w:color="auto" w:fill="F3F4F6"/>
          </w:tcPr>
          <w:p>
            <w:pPr>
              <w:jc w:val="right"/>
              <w:bidi w:val="1"/>
            </w:pPr>
            <w:r>
              <w:rPr>
                <w:b/>
                <w:sz w:val="18"/>
                <w:rtl w:val="1"/>
              </w:rPr>
              <w:t>القطاع</w:t>
            </w:r>
          </w:p>
        </w:tc>
        <w:tc>
          <w:tcPr>
            <w:tcW w:type="dxa" w:w="4680"/>
          </w:tcPr>
          <w:p>
            <w:pPr>
              <w:jc w:val="right"/>
              <w:bidi w:val="1"/>
            </w:pPr>
            <w:r>
              <w:rPr>
                <w:b w:val="0"/>
                <w:sz w:val="18"/>
                <w:rtl w:val="1"/>
              </w:rPr>
              <w:t>حكومي</w:t>
            </w:r>
          </w:p>
        </w:tc>
      </w:tr>
      <w:tr>
        <w:tc>
          <w:tcPr>
            <w:tcW w:type="dxa" w:w="4680"/>
            <w:shd w:val="clear" w:color="auto" w:fill="F3F4F6"/>
          </w:tcPr>
          <w:p>
            <w:pPr>
              <w:jc w:val="right"/>
              <w:bidi w:val="1"/>
            </w:pPr>
            <w:r>
              <w:rPr>
                <w:b/>
                <w:sz w:val="18"/>
                <w:rtl w:val="1"/>
              </w:rPr>
              <w:t>المجال</w:t>
            </w:r>
          </w:p>
        </w:tc>
        <w:tc>
          <w:tcPr>
            <w:tcW w:type="dxa" w:w="4680"/>
          </w:tcPr>
          <w:p>
            <w:pPr>
              <w:jc w:val="right"/>
              <w:bidi w:val="1"/>
            </w:pPr>
            <w:r>
              <w:rPr>
                <w:b w:val="0"/>
                <w:sz w:val="18"/>
                <w:rtl w:val="1"/>
              </w:rPr>
              <w:t>الأمن السيبراني</w:t>
            </w:r>
          </w:p>
        </w:tc>
      </w:tr>
      <w:tr>
        <w:tc>
          <w:tcPr>
            <w:tcW w:type="dxa" w:w="4680"/>
            <w:shd w:val="clear" w:color="auto" w:fill="F3F4F6"/>
          </w:tcPr>
          <w:p>
            <w:pPr>
              <w:jc w:val="right"/>
              <w:bidi w:val="1"/>
            </w:pPr>
            <w:r>
              <w:rPr>
                <w:b/>
                <w:sz w:val="18"/>
                <w:rtl w:val="1"/>
              </w:rPr>
              <w:t>نوع الوثيقة</w:t>
            </w:r>
          </w:p>
        </w:tc>
        <w:tc>
          <w:tcPr>
            <w:tcW w:type="dxa" w:w="4680"/>
          </w:tcPr>
          <w:p>
            <w:pPr>
              <w:jc w:val="right"/>
              <w:bidi w:val="1"/>
            </w:pPr>
            <w:r>
              <w:rPr>
                <w:b w:val="0"/>
                <w:sz w:val="18"/>
                <w:rtl w:val="1"/>
              </w:rPr>
              <w:t>وثيقة استراتيجية</w:t>
            </w:r>
          </w:p>
        </w:tc>
      </w:tr>
      <w:tr>
        <w:tc>
          <w:tcPr>
            <w:tcW w:type="dxa" w:w="4680"/>
            <w:shd w:val="clear" w:color="auto" w:fill="F3F4F6"/>
          </w:tcPr>
          <w:p>
            <w:pPr>
              <w:jc w:val="right"/>
              <w:bidi w:val="1"/>
            </w:pPr>
            <w:r>
              <w:rPr>
                <w:b/>
                <w:sz w:val="18"/>
                <w:rtl w:val="1"/>
              </w:rPr>
              <w:t>التصنيف</w:t>
            </w:r>
          </w:p>
        </w:tc>
        <w:tc>
          <w:tcPr>
            <w:tcW w:type="dxa" w:w="4680"/>
          </w:tcPr>
          <w:p>
            <w:pPr>
              <w:jc w:val="right"/>
              <w:bidi w:val="1"/>
            </w:pPr>
            <w:r>
              <w:rPr>
                <w:b w:val="0"/>
                <w:sz w:val="18"/>
                <w:rtl w:val="1"/>
              </w:rPr>
              <w:t>سري</w:t>
            </w:r>
          </w:p>
        </w:tc>
      </w:tr>
      <w:tr>
        <w:tc>
          <w:tcPr>
            <w:tcW w:type="dxa" w:w="4680"/>
            <w:shd w:val="clear" w:color="auto" w:fill="F3F4F6"/>
          </w:tcPr>
          <w:p>
            <w:pPr>
              <w:jc w:val="right"/>
              <w:bidi w:val="1"/>
            </w:pPr>
            <w:r>
              <w:rPr>
                <w:b/>
                <w:sz w:val="18"/>
                <w:rtl w:val="1"/>
              </w:rPr>
              <w:t>الإصدار</w:t>
            </w:r>
          </w:p>
        </w:tc>
        <w:tc>
          <w:tcPr>
            <w:tcW w:type="dxa" w:w="4680"/>
          </w:tcPr>
          <w:p>
            <w:pPr>
              <w:jc w:val="right"/>
              <w:bidi w:val="1"/>
            </w:pPr>
            <w:r>
              <w:rPr>
                <w:b w:val="0"/>
                <w:sz w:val="18"/>
                <w:rtl w:val="1"/>
              </w:rPr>
              <w:t>1.0</w:t>
            </w:r>
          </w:p>
        </w:tc>
      </w:tr>
      <w:tr>
        <w:tc>
          <w:tcPr>
            <w:tcW w:type="dxa" w:w="4680"/>
            <w:shd w:val="clear" w:color="auto" w:fill="F3F4F6"/>
          </w:tcPr>
          <w:p>
            <w:pPr>
              <w:jc w:val="right"/>
              <w:bidi w:val="1"/>
            </w:pPr>
            <w:r>
              <w:rPr>
                <w:b/>
                <w:sz w:val="18"/>
                <w:rtl w:val="1"/>
              </w:rPr>
              <w:t>الحالة</w:t>
            </w:r>
          </w:p>
        </w:tc>
        <w:tc>
          <w:tcPr>
            <w:tcW w:type="dxa" w:w="4680"/>
          </w:tcPr>
          <w:p>
            <w:pPr>
              <w:jc w:val="right"/>
              <w:bidi w:val="1"/>
            </w:pPr>
            <w:r>
              <w:rPr>
                <w:b w:val="0"/>
                <w:sz w:val="18"/>
                <w:rtl w:val="1"/>
              </w:rPr>
              <w:t>مسودة</w:t>
            </w:r>
          </w:p>
        </w:tc>
      </w:tr>
      <w:tr>
        <w:tc>
          <w:tcPr>
            <w:tcW w:type="dxa" w:w="4680"/>
            <w:shd w:val="clear" w:color="auto" w:fill="F3F4F6"/>
          </w:tcPr>
          <w:p>
            <w:pPr>
              <w:jc w:val="right"/>
              <w:bidi w:val="1"/>
            </w:pPr>
            <w:r>
              <w:rPr>
                <w:b/>
                <w:sz w:val="18"/>
                <w:rtl w:val="1"/>
              </w:rPr>
              <w:t>تاريخ الإعداد</w:t>
            </w:r>
          </w:p>
        </w:tc>
        <w:tc>
          <w:tcPr>
            <w:tcW w:type="dxa" w:w="4680"/>
          </w:tcPr>
          <w:p>
            <w:pPr>
              <w:jc w:val="right"/>
              <w:bidi w:val="1"/>
            </w:pPr>
            <w:r>
              <w:rPr>
                <w:b w:val="0"/>
                <w:sz w:val="18"/>
                <w:rtl w:val="1"/>
              </w:rPr>
              <w:t>17 June 2026</w:t>
            </w:r>
          </w:p>
        </w:tc>
      </w:tr>
      <w:tr>
        <w:tc>
          <w:tcPr>
            <w:tcW w:type="dxa" w:w="4680"/>
            <w:shd w:val="clear" w:color="auto" w:fill="F3F4F6"/>
          </w:tcPr>
          <w:p>
            <w:pPr>
              <w:jc w:val="right"/>
              <w:bidi w:val="1"/>
            </w:pPr>
            <w:r>
              <w:rPr>
                <w:b/>
                <w:sz w:val="18"/>
                <w:rtl w:val="1"/>
              </w:rPr>
              <w:t>أعد بواسطة</w:t>
            </w:r>
          </w:p>
        </w:tc>
        <w:tc>
          <w:tcPr>
            <w:tcW w:type="dxa" w:w="4680"/>
          </w:tcPr>
          <w:p>
            <w:pPr>
              <w:jc w:val="right"/>
              <w:bidi w:val="1"/>
            </w:pPr>
            <w:r>
              <w:rPr>
                <w:b w:val="0"/>
                <w:sz w:val="18"/>
                <w:rtl w:val="1"/>
              </w:rPr>
              <w:t>Mizan GRC Platform</w:t>
            </w:r>
          </w:p>
        </w:tc>
      </w:tr>
    </w:tbl>
    <w:p/>
    <w:p>
      <w:r>
        <w:br w:type="page"/>
      </w:r>
    </w:p>
    <w:p>
      <w:pPr>
        <w:spacing w:before="160" w:after="40"/>
        <w:jc w:val="right"/>
        <w:bidi w:val="1"/>
      </w:pPr>
      <w:r>
        <w:rPr>
          <w:b/>
          <w:color w:val="1D2B4F"/>
          <w:sz w:val="28"/>
          <w:rtl w:val="1"/>
        </w:rPr>
        <w:t>الملخص التنفيذي</w:t>
      </w:r>
    </w:p>
    <w:p>
      <w:pPr>
        <w:pBdr>
          <w:bottom w:val="single" w:sz="12" w:space="2" w:color="D04A02"/>
        </w:pBdr>
        <w:spacing w:after="160"/>
      </w:pPr>
    </w:p>
    <w:tbl>
      <w:tblPr>
        <w:tblW w:type="auto" w:w="0"/>
        <w:jc w:val="right"/>
        <w:tblLook w:firstColumn="1" w:firstRow="1" w:lastColumn="0" w:lastRow="0" w:noHBand="0" w:noVBand="1" w:val="04A0"/>
      </w:tblPr>
      <w:tblGrid>
        <w:gridCol w:w="4680"/>
        <w:gridCol w:w="4680"/>
      </w:tblGrid>
      <w:tr>
        <w:tc>
          <w:tcPr>
            <w:tcW w:type="dxa" w:w="4680"/>
            <w:shd w:val="clear" w:color="auto" w:fill="F3F4F6"/>
          </w:tcPr>
          <w:p>
            <w:pPr>
              <w:jc w:val="right"/>
              <w:bidi w:val="1"/>
            </w:pPr>
            <w:r>
              <w:rPr>
                <w:b/>
                <w:sz w:val="18"/>
                <w:rtl w:val="1"/>
              </w:rPr>
              <w:t>الغرض</w:t>
            </w:r>
          </w:p>
        </w:tc>
        <w:tc>
          <w:tcPr>
            <w:tcW w:type="dxa" w:w="4680"/>
          </w:tcPr>
          <w:p>
            <w:pPr>
              <w:jc w:val="right"/>
              <w:bidi w:val="1"/>
            </w:pPr>
            <w:r>
              <w:rPr>
                <w:b w:val="0"/>
                <w:sz w:val="18"/>
                <w:rtl w:val="1"/>
              </w:rPr>
              <w:t>تُقدّم هذه الوثيقة استراتيجية الأمن السيبراني المُعدّة لـمنظمتي (القطاع: حكومي)، مبنيةً على تحليل تشخيصي كامل ومُواءَمة مع 2 من الأطر المرجعية المختارة NCA ECC, NCA DCC (NCA ECC (Essential Cybersecurity Controls), NCA DCC (Data Cybersecurity Controls)).</w:t>
            </w:r>
          </w:p>
        </w:tc>
      </w:tr>
      <w:tr>
        <w:tc>
          <w:tcPr>
            <w:tcW w:type="dxa" w:w="4680"/>
            <w:shd w:val="clear" w:color="auto" w:fill="F3F4F6"/>
          </w:tcPr>
          <w:p>
            <w:pPr>
              <w:jc w:val="right"/>
              <w:bidi w:val="1"/>
            </w:pPr>
            <w:r>
              <w:rPr>
                <w:b/>
                <w:sz w:val="18"/>
                <w:rtl w:val="1"/>
              </w:rPr>
              <w:t>الأطر المرجعية</w:t>
            </w:r>
          </w:p>
        </w:tc>
        <w:tc>
          <w:tcPr>
            <w:tcW w:type="dxa" w:w="4680"/>
          </w:tcPr>
          <w:p>
            <w:pPr>
              <w:jc w:val="right"/>
              <w:bidi w:val="1"/>
            </w:pPr>
            <w:r>
              <w:rPr>
                <w:b w:val="0"/>
                <w:sz w:val="18"/>
                <w:rtl w:val="1"/>
              </w:rPr>
              <w:t>NCA ECC (Essential Cybersecurity Controls) — NCA DCC (Data Cybersecurity Controls)</w:t>
            </w:r>
          </w:p>
        </w:tc>
      </w:tr>
      <w:tr>
        <w:tc>
          <w:tcPr>
            <w:tcW w:type="dxa" w:w="4680"/>
            <w:shd w:val="clear" w:color="auto" w:fill="F3F4F6"/>
          </w:tcPr>
          <w:p>
            <w:pPr>
              <w:jc w:val="right"/>
              <w:bidi w:val="1"/>
            </w:pPr>
            <w:r>
              <w:rPr>
                <w:b/>
                <w:sz w:val="18"/>
                <w:rtl w:val="1"/>
              </w:rPr>
              <w:t>أهم الأولويات</w:t>
            </w:r>
          </w:p>
        </w:tc>
        <w:tc>
          <w:tcPr>
            <w:tcW w:type="dxa" w:w="4680"/>
          </w:tcPr>
          <w:p>
            <w:pPr>
              <w:jc w:val="right"/>
              <w:bidi w:val="1"/>
            </w:pPr>
            <w:r>
              <w:rPr>
                <w:b w:val="0"/>
                <w:sz w:val="18"/>
                <w:rtl w:val="1"/>
              </w:rPr>
              <w:t>تأسيس إدارة الأمن السيبراني وتعيين CISO؛ تأسيس CSIRT وخطط الاستجابة؛ برنامج إدارة الثغرات؛ تدريب توعوي أمني لجميع الموظفين؛ تطبيق التشفير وإدارة المفاتيح</w:t>
            </w:r>
          </w:p>
        </w:tc>
      </w:tr>
      <w:tr>
        <w:tc>
          <w:tcPr>
            <w:tcW w:type="dxa" w:w="4680"/>
            <w:shd w:val="clear" w:color="auto" w:fill="F3F4F6"/>
          </w:tcPr>
          <w:p>
            <w:pPr>
              <w:jc w:val="right"/>
              <w:bidi w:val="1"/>
            </w:pPr>
            <w:r>
              <w:rPr>
                <w:b/>
                <w:sz w:val="18"/>
                <w:rtl w:val="1"/>
              </w:rPr>
              <w:t>أبرز الفجوات</w:t>
            </w:r>
          </w:p>
        </w:tc>
        <w:tc>
          <w:tcPr>
            <w:tcW w:type="dxa" w:w="4680"/>
          </w:tcPr>
          <w:p>
            <w:pPr>
              <w:jc w:val="right"/>
              <w:bidi w:val="1"/>
            </w:pPr>
            <w:r>
              <w:rPr>
                <w:b w:val="0"/>
                <w:sz w:val="18"/>
                <w:rtl w:val="1"/>
              </w:rPr>
              <w:t>غياب وظيفة CISO وهيكل حوكمة الأمن السيبراني؛ غياب مركز العمليات الأمنية SOC وأدوات SIEM؛ ضعف إدارة الهوية والوصول IAM / PAM / MFA؛ غياب فريق الاستجابة للحوادث CSIRT وخطة رسمية؛ قصور إدارة الثغرات الأمنية وغياب DLP والوصول عن بُعد الآمن</w:t>
            </w:r>
          </w:p>
        </w:tc>
      </w:tr>
      <w:tr>
        <w:tc>
          <w:tcPr>
            <w:tcW w:type="dxa" w:w="4680"/>
            <w:shd w:val="clear" w:color="auto" w:fill="F3F4F6"/>
          </w:tcPr>
          <w:p>
            <w:pPr>
              <w:jc w:val="right"/>
              <w:bidi w:val="1"/>
            </w:pPr>
            <w:r>
              <w:rPr>
                <w:b/>
                <w:sz w:val="18"/>
                <w:rtl w:val="1"/>
              </w:rPr>
              <w:t>أفق التنفيذ</w:t>
            </w:r>
          </w:p>
        </w:tc>
        <w:tc>
          <w:tcPr>
            <w:tcW w:type="dxa" w:w="4680"/>
          </w:tcPr>
          <w:p>
            <w:pPr>
              <w:jc w:val="right"/>
              <w:bidi w:val="1"/>
            </w:pPr>
            <w:r>
              <w:rPr>
                <w:b w:val="0"/>
                <w:sz w:val="18"/>
                <w:rtl w:val="1"/>
              </w:rPr>
              <w:t>24 شهر</w:t>
            </w:r>
          </w:p>
        </w:tc>
      </w:tr>
      <w:tr>
        <w:tc>
          <w:tcPr>
            <w:tcW w:type="dxa" w:w="4680"/>
            <w:shd w:val="clear" w:color="auto" w:fill="F3F4F6"/>
          </w:tcPr>
          <w:p>
            <w:pPr>
              <w:jc w:val="right"/>
              <w:bidi w:val="1"/>
            </w:pPr>
            <w:r>
              <w:rPr>
                <w:b/>
                <w:sz w:val="18"/>
                <w:rtl w:val="1"/>
              </w:rPr>
              <w:t>درجة الثقة</w:t>
            </w:r>
          </w:p>
        </w:tc>
        <w:tc>
          <w:tcPr>
            <w:tcW w:type="dxa" w:w="4680"/>
          </w:tcPr>
          <w:p>
            <w:pPr>
              <w:jc w:val="right"/>
              <w:bidi w:val="1"/>
            </w:pPr>
            <w:r>
              <w:rPr>
                <w:b w:val="0"/>
                <w:sz w:val="18"/>
                <w:rtl w:val="1"/>
              </w:rPr>
              <w:t>78%</w:t>
            </w:r>
          </w:p>
        </w:tc>
      </w:tr>
      <w:tr>
        <w:tc>
          <w:tcPr>
            <w:tcW w:type="dxa" w:w="4680"/>
            <w:shd w:val="clear" w:color="auto" w:fill="F3F4F6"/>
          </w:tcPr>
          <w:p>
            <w:pPr>
              <w:jc w:val="right"/>
              <w:bidi w:val="1"/>
            </w:pPr>
            <w:r>
              <w:rPr>
                <w:b/>
                <w:sz w:val="18"/>
                <w:rtl w:val="1"/>
              </w:rPr>
              <w:t>المخاطر الرئيسية</w:t>
            </w:r>
          </w:p>
        </w:tc>
        <w:tc>
          <w:tcPr>
            <w:tcW w:type="dxa" w:w="4680"/>
          </w:tcPr>
          <w:p>
            <w:pPr>
              <w:jc w:val="right"/>
              <w:bidi w:val="1"/>
            </w:pPr>
            <w:r>
              <w:rPr>
                <w:b w:val="0"/>
                <w:sz w:val="18"/>
                <w:rtl w:val="1"/>
              </w:rPr>
              <w:t>غياب سياسة موثقة للاستجابة للحوادث مما يُطيل فترة الاحتواء؛ استغلال الثغرات الصفرية في الأنظمة غير المُحدَّثة؛ اختراق البيانات عبر هجمات التصيد الاحتيالي نتيجة ضعف الوعي؛ انتشار برمجيات الفدية عبر الشبكة الداخلية لغياب التجزئة؛ مخاطر الأمن السيبراني لدى الأطراف الثالثة دون تقييم رسمي</w:t>
            </w:r>
          </w:p>
        </w:tc>
      </w:tr>
    </w:tbl>
    <w:p/>
    <w:p>
      <w:r>
        <w:br w:type="page"/>
      </w:r>
    </w:p>
    <w:p>
      <w:pPr>
        <w:spacing w:before="160" w:after="40"/>
        <w:jc w:val="right"/>
        <w:bidi w:val="1"/>
      </w:pPr>
      <w:r>
        <w:rPr>
          <w:b/>
          <w:color w:val="1D2B4F"/>
          <w:sz w:val="28"/>
          <w:rtl w:val="1"/>
        </w:rPr>
        <w:t>النطاق والأطر المرجعية المعتمدة</w:t>
      </w:r>
    </w:p>
    <w:p>
      <w:pPr>
        <w:pBdr>
          <w:bottom w:val="single" w:sz="12" w:space="2" w:color="D04A02"/>
        </w:pBdr>
        <w:spacing w:after="160"/>
      </w:pPr>
    </w:p>
    <w:p>
      <w:pPr>
        <w:jc w:val="right"/>
        <w:bidi w:val="1"/>
      </w:pPr>
      <w:r>
        <w:rPr>
          <w:b/>
          <w:color w:val="1D2B4F"/>
          <w:sz w:val="20"/>
          <w:rtl w:val="1"/>
        </w:rPr>
        <w:t>NCA ECC (Essential Cybersecurity Controls) (ECC)</w:t>
      </w:r>
    </w:p>
    <w:p>
      <w:pPr>
        <w:spacing w:after="120"/>
        <w:jc w:val="right"/>
        <w:bidi w:val="1"/>
      </w:pPr>
      <w:r>
        <w:rPr>
          <w:sz w:val="20"/>
          <w:rtl w:val="1"/>
        </w:rPr>
        <w:t>يُعكَس هذا الإطار في الاستراتيجية عبر مجالات: الحوكمة، إدارة الهوية، مركز العمليات الأمنية، الاستجابة للحوادث، إدارة الثغرات.</w:t>
      </w:r>
    </w:p>
    <w:p>
      <w:pPr>
        <w:jc w:val="right"/>
        <w:bidi w:val="1"/>
      </w:pPr>
      <w:r>
        <w:rPr>
          <w:b/>
          <w:color w:val="1D2B4F"/>
          <w:sz w:val="20"/>
          <w:rtl w:val="1"/>
        </w:rPr>
        <w:t>NCA DCC (Data Cybersecurity Controls) (DCC)</w:t>
      </w:r>
    </w:p>
    <w:p>
      <w:pPr>
        <w:spacing w:after="120"/>
        <w:jc w:val="right"/>
        <w:bidi w:val="1"/>
      </w:pPr>
      <w:r>
        <w:rPr>
          <w:sz w:val="20"/>
          <w:rtl w:val="1"/>
        </w:rPr>
        <w:t>يُعكَس هذا الإطار في الاستراتيجية عبر مجالات: تصنيف البيانات، التشفير، DLP، البيانات الحساسة، حماية البيانات.</w:t>
      </w:r>
    </w:p>
    <w:p>
      <w:r>
        <w:br w:type="page"/>
      </w:r>
    </w:p>
    <w:p>
      <w:pPr>
        <w:spacing w:before="160" w:after="40"/>
        <w:jc w:val="right"/>
        <w:bidi w:val="1"/>
      </w:pPr>
      <w:r>
        <w:rPr>
          <w:b/>
          <w:color w:val="1D2B4F"/>
          <w:sz w:val="28"/>
          <w:rtl w:val="1"/>
        </w:rPr>
        <w:t>المنهجية</w:t>
      </w:r>
    </w:p>
    <w:p>
      <w:pPr>
        <w:pBdr>
          <w:bottom w:val="single" w:sz="12" w:space="2" w:color="D04A02"/>
        </w:pBdr>
        <w:spacing w:after="160"/>
      </w:pPr>
    </w:p>
    <w:p>
      <w:pPr>
        <w:jc w:val="right"/>
        <w:bidi w:val="1"/>
      </w:pPr>
      <w:r>
        <w:rPr>
          <w:b/>
          <w:color w:val="1D2B4F"/>
          <w:sz w:val="20"/>
          <w:rtl w:val="1"/>
        </w:rPr>
        <w:t>المرحلة 1 — تحليل المدخلات التشخيصية</w:t>
      </w:r>
    </w:p>
    <w:p>
      <w:pPr>
        <w:spacing w:after="120"/>
        <w:jc w:val="right"/>
        <w:bidi w:val="1"/>
      </w:pPr>
      <w:r>
        <w:rPr>
          <w:sz w:val="20"/>
          <w:rtl w:val="1"/>
        </w:rPr>
        <w:t>مراجعة منهجية للبيانات التشخيصية المُدخلة من المنظمة (القطاع، الحجم، النضج الحالي، الأنظمة، التحديات) وتأكيد جودة المُدخلات قبل بدء أي تحليل.</w:t>
      </w:r>
    </w:p>
    <w:p>
      <w:pPr>
        <w:jc w:val="right"/>
        <w:bidi w:val="1"/>
      </w:pPr>
      <w:r>
        <w:rPr>
          <w:b/>
          <w:color w:val="1D2B4F"/>
          <w:sz w:val="20"/>
          <w:rtl w:val="1"/>
        </w:rPr>
        <w:t>المرحلة 2 — تحديد نطاق الأطر المرجعية</w:t>
      </w:r>
    </w:p>
    <w:p>
      <w:pPr>
        <w:spacing w:after="120"/>
        <w:jc w:val="right"/>
        <w:bidi w:val="1"/>
      </w:pPr>
      <w:r>
        <w:rPr>
          <w:sz w:val="20"/>
          <w:rtl w:val="1"/>
        </w:rPr>
        <w:t>اعتماد الأطر التالية كنطاق رسمي للتحليل والمواءمة: NCA ECC, NCA DCC (NCA ECC (Essential Cybersecurity Controls), NCA DCC (Data Cybersecurity Controls)).</w:t>
      </w:r>
    </w:p>
    <w:p>
      <w:pPr>
        <w:jc w:val="right"/>
        <w:bidi w:val="1"/>
      </w:pPr>
      <w:r>
        <w:rPr>
          <w:b/>
          <w:color w:val="1D2B4F"/>
          <w:sz w:val="20"/>
          <w:rtl w:val="1"/>
        </w:rPr>
        <w:t>المرحلة 3 — تحليل تغطية القدرات</w:t>
      </w:r>
    </w:p>
    <w:p>
      <w:pPr>
        <w:spacing w:after="120"/>
        <w:jc w:val="right"/>
        <w:bidi w:val="1"/>
      </w:pPr>
      <w:r>
        <w:rPr>
          <w:sz w:val="20"/>
          <w:rtl w:val="1"/>
        </w:rPr>
        <w:t>مطابقة المُدخلات والضوابط القائمة مع عائلات القدرات التي تتطلبها الأطر المختارة (الحوكمة، إدارة الهوية، المراقبة، الاستجابة، الوصول عن بُعد، حماية البيانات…).</w:t>
      </w:r>
    </w:p>
    <w:p>
      <w:pPr>
        <w:jc w:val="right"/>
        <w:bidi w:val="1"/>
      </w:pPr>
      <w:r>
        <w:rPr>
          <w:b/>
          <w:color w:val="1D2B4F"/>
          <w:sz w:val="20"/>
          <w:rtl w:val="1"/>
        </w:rPr>
        <w:t>المرحلة 4 — تحليل الفجوات وترتيب الأولويات</w:t>
      </w:r>
    </w:p>
    <w:p>
      <w:pPr>
        <w:spacing w:after="120"/>
        <w:jc w:val="right"/>
        <w:bidi w:val="1"/>
      </w:pPr>
      <w:r>
        <w:rPr>
          <w:sz w:val="20"/>
          <w:rtl w:val="1"/>
        </w:rPr>
        <w:t>استخراج الفجوات بين الوضع الحالي ومتطلبات الأطر، وترتيبها وفق الأثر والأولوية والقابلية للمعالجة.</w:t>
      </w:r>
    </w:p>
    <w:p>
      <w:pPr>
        <w:jc w:val="right"/>
        <w:bidi w:val="1"/>
      </w:pPr>
      <w:r>
        <w:rPr>
          <w:b/>
          <w:color w:val="1D2B4F"/>
          <w:sz w:val="20"/>
          <w:rtl w:val="1"/>
        </w:rPr>
        <w:t>المرحلة 5 — تصميم خارطة الطريق والمؤشرات</w:t>
      </w:r>
    </w:p>
    <w:p>
      <w:pPr>
        <w:spacing w:after="120"/>
        <w:jc w:val="right"/>
        <w:bidi w:val="1"/>
      </w:pPr>
      <w:r>
        <w:rPr>
          <w:sz w:val="20"/>
          <w:rtl w:val="1"/>
        </w:rPr>
        <w:t>بناء خارطة طريق متعددة الموجات (قصيرة/متوسطة/طويلة المدى) مرتبطة بمؤشرات أداء (KPI) ومؤشرات مخاطر (KRI) قابلة للقياس.</w:t>
      </w:r>
    </w:p>
    <w:p>
      <w:pPr>
        <w:jc w:val="right"/>
        <w:bidi w:val="1"/>
      </w:pPr>
      <w:r>
        <w:rPr>
          <w:b/>
          <w:color w:val="1D2B4F"/>
          <w:sz w:val="20"/>
          <w:rtl w:val="1"/>
        </w:rPr>
        <w:t>المرحلة 6 — تقييم المخاطر والثقة</w:t>
      </w:r>
    </w:p>
    <w:p>
      <w:pPr>
        <w:spacing w:after="120"/>
        <w:jc w:val="right"/>
        <w:bidi w:val="1"/>
      </w:pPr>
      <w:r>
        <w:rPr>
          <w:sz w:val="20"/>
          <w:rtl w:val="1"/>
        </w:rPr>
        <w:t>تقدير المخاطر التنفيذية ومخاطر التغيير، وحساب درجة ثقة شاملة في قابلية تنفيذ الاستراتيجية.</w:t>
      </w:r>
    </w:p>
    <w:p>
      <w:pPr>
        <w:jc w:val="right"/>
        <w:bidi w:val="1"/>
      </w:pPr>
      <w:r>
        <w:rPr>
          <w:b/>
          <w:color w:val="1D2B4F"/>
          <w:sz w:val="20"/>
          <w:rtl w:val="1"/>
        </w:rPr>
        <w:t>المرحلة 7 — التحقق وبوابات الجودة</w:t>
      </w:r>
    </w:p>
    <w:p>
      <w:pPr>
        <w:spacing w:after="120"/>
        <w:jc w:val="right"/>
        <w:bidi w:val="1"/>
      </w:pPr>
      <w:r>
        <w:rPr>
          <w:sz w:val="20"/>
          <w:rtl w:val="1"/>
        </w:rPr>
        <w:t>اجتياز سلسلة بوابات التحقق: التحقق من المجال، كثافة المحتوى، تغطية الأطر، التدقيق الدلالي، ثم التدقيق النهائي قبل النشر.</w:t>
      </w:r>
    </w:p>
    <w:p>
      <w:r>
        <w:br w:type="page"/>
      </w:r>
    </w:p>
    <w:p>
      <w:pPr>
        <w:spacing w:before="160" w:after="40"/>
        <w:jc w:val="right"/>
        <w:bidi w:val="1"/>
      </w:pPr>
      <w:r>
        <w:rPr>
          <w:b/>
          <w:color w:val="1D2B4F"/>
          <w:sz w:val="28"/>
          <w:rtl w:val="1"/>
        </w:rPr>
        <w:t>ملخص الوضع الراهن ومستوى النضج</w:t>
      </w:r>
    </w:p>
    <w:p>
      <w:pPr>
        <w:pBdr>
          <w:bottom w:val="single" w:sz="12" w:space="2" w:color="D04A02"/>
        </w:pBdr>
        <w:spacing w:after="160"/>
      </w:pPr>
    </w:p>
    <w:p>
      <w:pPr>
        <w:spacing w:after="120"/>
        <w:jc w:val="right"/>
        <w:bidi w:val="1"/>
      </w:pPr>
      <w:r>
        <w:rPr>
          <w:sz w:val="20"/>
          <w:rtl w:val="1"/>
        </w:rPr>
        <w:t>السياق التنظيمي: يفرض الإطار التنظيمي المُطبَّق على منظمتي — وعلى رأسه متطلبات NCA ECC, NCA DCC المعمول بها في قطاع حكومي — التزامات محدّدة على حوكمة الأمن السيبراني، بما يشمل إثبات تطبيق الضوابط والحوكمة المستمرة وإعداد أدلة التدقيق وفق اللوائح والأنظمة السارية. وتشمل الأُطر التنظيمية المختارة المُلزِمة لـمنظمتي: NCA ECC، NCA DCC. إذ تكشف القدرات الأساسية عن فجوات يجب سدّها قبل تحقيق أي التزام مستدام.</w:t>
      </w:r>
    </w:p>
    <w:p>
      <w:pPr>
        <w:spacing w:after="120"/>
        <w:jc w:val="right"/>
        <w:bidi w:val="1"/>
      </w:pPr>
      <w:r>
        <w:rPr>
          <w:sz w:val="20"/>
          <w:rtl w:val="1"/>
        </w:rPr>
        <w:t>سياق التهديدات: تُشير البيانات العامة لفرق الاستجابة الوطنية خلال آخر دورة تقرير إلى ارتفاع ملحوظ في حوادث اختراق سلاسل الإمداد، والتصيد الموجّه، وحملات برامج الفدية — مما يرفع أولوية تحصين ضوابط الأمن السيبراني لدى منظمتي وتسريع النضج التشغيلي في الاستجابة للحوادث.</w:t>
      </w:r>
    </w:p>
    <w:p>
      <w:r>
        <w:br w:type="page"/>
      </w:r>
    </w:p>
    <w:p>
      <w:pPr>
        <w:spacing w:before="160" w:after="40"/>
        <w:jc w:val="right"/>
        <w:bidi w:val="1"/>
      </w:pPr>
      <w:r>
        <w:rPr>
          <w:b/>
          <w:color w:val="1D2B4F"/>
          <w:sz w:val="28"/>
          <w:rtl w:val="1"/>
        </w:rPr>
        <w:t>الرؤية والأهداف الاستراتيجية</w:t>
      </w:r>
    </w:p>
    <w:p>
      <w:pPr>
        <w:pBdr>
          <w:bottom w:val="single" w:sz="12" w:space="2" w:color="D04A02"/>
        </w:pBdr>
        <w:spacing w:after="160"/>
      </w:pPr>
    </w:p>
    <w:p>
      <w:pPr>
        <w:spacing w:after="120"/>
        <w:jc w:val="right"/>
        <w:bidi w:val="1"/>
      </w:pPr>
      <w:r>
        <w:rPr>
          <w:sz w:val="20"/>
          <w:rtl w:val="1"/>
        </w:rPr>
        <w:t>ركيزة استراتيجية تدعم تنفيذ القدرات السيبرانية المطلوبة وفق إطار NCA ECC/DCC.</w:t>
      </w:r>
    </w:p>
    <w:p>
      <w:pPr>
        <w:spacing w:after="120"/>
        <w:jc w:val="right"/>
        <w:bidi w:val="1"/>
      </w:pPr>
      <w:r>
        <w:rPr>
          <w:sz w:val="20"/>
          <w:rtl w:val="1"/>
        </w:rPr>
        <w:t>ركيزة استراتيجية تدعم تنفيذ القدرات السيبرانية المطلوبة وفق إطار NCA ECC/DCC.</w:t>
      </w:r>
    </w:p>
    <w:p>
      <w:pPr>
        <w:spacing w:after="120"/>
        <w:jc w:val="right"/>
        <w:bidi w:val="1"/>
      </w:pPr>
      <w:r>
        <w:rPr>
          <w:sz w:val="20"/>
          <w:rtl w:val="1"/>
        </w:rPr>
        <w:t>ركيزة استراتيجية تدعم تنفيذ القدرات السيبرانية المطلوبة وفق إطار NCA ECC/DCC.</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الهدف الاستراتيجي</w:t>
            </w:r>
          </w:p>
        </w:tc>
        <w:tc>
          <w:tcPr>
            <w:tcW w:type="dxa" w:w="1872"/>
            <w:shd w:val="clear" w:color="auto" w:fill="1D2B4F"/>
          </w:tcPr>
          <w:p>
            <w:pPr>
              <w:jc w:val="right"/>
              <w:bidi w:val="1"/>
            </w:pPr>
            <w:r>
              <w:rPr>
                <w:b/>
                <w:color w:val="FFFFFF"/>
                <w:sz w:val="18"/>
                <w:rtl w:val="1"/>
              </w:rPr>
              <w:t>المستهدف القابل للقياس</w:t>
            </w:r>
          </w:p>
        </w:tc>
        <w:tc>
          <w:tcPr>
            <w:tcW w:type="dxa" w:w="1872"/>
            <w:shd w:val="clear" w:color="auto" w:fill="1D2B4F"/>
          </w:tcPr>
          <w:p>
            <w:pPr>
              <w:jc w:val="right"/>
              <w:bidi w:val="1"/>
            </w:pPr>
            <w:r>
              <w:rPr>
                <w:b/>
                <w:color w:val="FFFFFF"/>
                <w:sz w:val="18"/>
                <w:rtl w:val="1"/>
              </w:rPr>
              <w:t>المبرر</w:t>
            </w:r>
          </w:p>
        </w:tc>
        <w:tc>
          <w:tcPr>
            <w:tcW w:type="dxa" w:w="1872"/>
            <w:shd w:val="clear" w:color="auto" w:fill="1D2B4F"/>
          </w:tcPr>
          <w:p>
            <w:pPr>
              <w:jc w:val="right"/>
              <w:bidi w:val="1"/>
            </w:pPr>
            <w:r>
              <w:rPr>
                <w:b/>
                <w:color w:val="FFFFFF"/>
                <w:sz w:val="18"/>
                <w:rtl w:val="1"/>
              </w:rPr>
              <w:t>الإطار الزمني</w:t>
            </w:r>
          </w:p>
        </w:tc>
      </w:tr>
      <w:tr>
        <w:tc>
          <w:tcPr>
            <w:tcW w:type="dxa" w:w="1872"/>
          </w:tcPr>
          <w:p>
            <w:pPr>
              <w:jc w:val="right"/>
              <w:bidi w:val="1"/>
            </w:pPr>
            <w:r>
              <w:rPr>
                <w:sz w:val="16"/>
                <w:rtl w:val="1"/>
              </w:rPr>
              <w:t>1</w:t>
            </w:r>
          </w:p>
        </w:tc>
        <w:tc>
          <w:tcPr>
            <w:tcW w:type="dxa" w:w="1872"/>
          </w:tcPr>
          <w:p>
            <w:pPr>
              <w:jc w:val="right"/>
              <w:bidi w:val="1"/>
            </w:pPr>
            <w:r>
              <w:rPr>
                <w:sz w:val="16"/>
                <w:rtl w:val="1"/>
              </w:rPr>
              <w:t>إنشاء إدارة متخصصة للأمن السيبراني وتعيين CISO وتفعيل لجنة الحوكمة ونموذج التشغيل</w:t>
            </w:r>
          </w:p>
        </w:tc>
        <w:tc>
          <w:tcPr>
            <w:tcW w:type="dxa" w:w="1872"/>
          </w:tcPr>
          <w:p>
            <w:pPr>
              <w:jc w:val="right"/>
              <w:bidi w:val="1"/>
            </w:pPr>
            <w:r>
              <w:rPr>
                <w:sz w:val="16"/>
                <w:rtl w:val="1"/>
              </w:rPr>
              <w:t>إنجاز الهيكل التنظيمي بنسبة 100% وتعيين CISO مؤهل خلال الإطار المحدد</w:t>
            </w:r>
          </w:p>
        </w:tc>
        <w:tc>
          <w:tcPr>
            <w:tcW w:type="dxa" w:w="1872"/>
          </w:tcPr>
          <w:p>
            <w:pPr>
              <w:jc w:val="right"/>
              <w:bidi w:val="1"/>
            </w:pPr>
            <w:r>
              <w:rPr>
                <w:sz w:val="16"/>
                <w:rtl w:val="1"/>
              </w:rPr>
              <w:t>ضرورة وجود هيكل تنظيمي متخصص لقيادة وإدارة برنامج الأمن السيبراني بفعالية</w:t>
            </w:r>
          </w:p>
        </w:tc>
        <w:tc>
          <w:tcPr>
            <w:tcW w:type="dxa" w:w="1872"/>
          </w:tcPr>
          <w:p>
            <w:pPr>
              <w:jc w:val="right"/>
              <w:bidi w:val="1"/>
            </w:pPr>
            <w:r>
              <w:rPr>
                <w:sz w:val="16"/>
                <w:rtl w:val="1"/>
              </w:rPr>
              <w:t>6 أشهر</w:t>
            </w:r>
          </w:p>
        </w:tc>
      </w:tr>
      <w:tr>
        <w:tc>
          <w:tcPr>
            <w:tcW w:type="dxa" w:w="1872"/>
          </w:tcPr>
          <w:p>
            <w:pPr>
              <w:jc w:val="right"/>
              <w:bidi w:val="1"/>
            </w:pPr>
            <w:r>
              <w:rPr>
                <w:sz w:val="16"/>
                <w:rtl w:val="1"/>
              </w:rPr>
              <w:t>2</w:t>
            </w:r>
          </w:p>
        </w:tc>
        <w:tc>
          <w:tcPr>
            <w:tcW w:type="dxa" w:w="1872"/>
          </w:tcPr>
          <w:p>
            <w:pPr>
              <w:jc w:val="right"/>
              <w:bidi w:val="1"/>
            </w:pPr>
            <w:r>
              <w:rPr>
                <w:sz w:val="16"/>
                <w:rtl w:val="1"/>
              </w:rPr>
              <w:t>تحقيق الالتزام بضوابط NCA ECC وNCA DCC المختارة</w:t>
            </w:r>
          </w:p>
        </w:tc>
        <w:tc>
          <w:tcPr>
            <w:tcW w:type="dxa" w:w="1872"/>
          </w:tcPr>
          <w:p>
            <w:pPr>
              <w:jc w:val="right"/>
              <w:bidi w:val="1"/>
            </w:pPr>
            <w:r>
              <w:rPr>
                <w:sz w:val="16"/>
                <w:rtl w:val="1"/>
              </w:rPr>
              <w:t>نسبة امتثال لا تقل عن ≥90% للضوابط الأساسية والحرجة</w:t>
            </w:r>
          </w:p>
        </w:tc>
        <w:tc>
          <w:tcPr>
            <w:tcW w:type="dxa" w:w="1872"/>
          </w:tcPr>
          <w:p>
            <w:pPr>
              <w:jc w:val="right"/>
              <w:bidi w:val="1"/>
            </w:pPr>
            <w:r>
              <w:rPr>
                <w:sz w:val="16"/>
                <w:rtl w:val="1"/>
              </w:rPr>
              <w:t>ضمان مواءمة برنامج الأمن السيبراني مع المتطلبات التنظيمية وتقليل فجوات الامتثال</w:t>
            </w:r>
          </w:p>
        </w:tc>
        <w:tc>
          <w:tcPr>
            <w:tcW w:type="dxa" w:w="1872"/>
          </w:tcPr>
          <w:p>
            <w:pPr>
              <w:jc w:val="right"/>
              <w:bidi w:val="1"/>
            </w:pPr>
            <w:r>
              <w:rPr>
                <w:sz w:val="16"/>
                <w:rtl w:val="1"/>
              </w:rPr>
              <w:t>12 شهراً</w:t>
            </w:r>
          </w:p>
        </w:tc>
      </w:tr>
      <w:tr>
        <w:tc>
          <w:tcPr>
            <w:tcW w:type="dxa" w:w="1872"/>
          </w:tcPr>
          <w:p>
            <w:pPr>
              <w:jc w:val="right"/>
              <w:bidi w:val="1"/>
            </w:pPr>
            <w:r>
              <w:rPr>
                <w:sz w:val="16"/>
                <w:rtl w:val="1"/>
              </w:rPr>
              <w:t>3</w:t>
            </w:r>
          </w:p>
        </w:tc>
        <w:tc>
          <w:tcPr>
            <w:tcW w:type="dxa" w:w="1872"/>
          </w:tcPr>
          <w:p>
            <w:pPr>
              <w:jc w:val="right"/>
              <w:bidi w:val="1"/>
            </w:pPr>
            <w:r>
              <w:rPr>
                <w:sz w:val="16"/>
                <w:rtl w:val="1"/>
              </w:rPr>
              <w:t>نشر منظومة إدارة الهويات والتحكم في الوصول عبر جميع الأنظمة الحيوية</w:t>
            </w:r>
          </w:p>
        </w:tc>
        <w:tc>
          <w:tcPr>
            <w:tcW w:type="dxa" w:w="1872"/>
          </w:tcPr>
          <w:p>
            <w:pPr>
              <w:jc w:val="right"/>
              <w:bidi w:val="1"/>
            </w:pPr>
            <w:r>
              <w:rPr>
                <w:sz w:val="16"/>
                <w:rtl w:val="1"/>
              </w:rPr>
              <w:t>تطبيق مبدأ الصلاحية الدنيا على 100% من الحسابات المميّزة</w:t>
            </w:r>
          </w:p>
        </w:tc>
        <w:tc>
          <w:tcPr>
            <w:tcW w:type="dxa" w:w="1872"/>
          </w:tcPr>
          <w:p>
            <w:pPr>
              <w:jc w:val="right"/>
              <w:bidi w:val="1"/>
            </w:pPr>
            <w:r>
              <w:rPr>
                <w:sz w:val="16"/>
                <w:rtl w:val="1"/>
              </w:rPr>
              <w:t>ضعف التحكم في الوصول يُشكّل نقطة دخول رئيسية للاختراق الداخلي</w:t>
            </w:r>
          </w:p>
        </w:tc>
        <w:tc>
          <w:tcPr>
            <w:tcW w:type="dxa" w:w="1872"/>
          </w:tcPr>
          <w:p>
            <w:pPr>
              <w:jc w:val="right"/>
              <w:bidi w:val="1"/>
            </w:pPr>
            <w:r>
              <w:rPr>
                <w:sz w:val="16"/>
                <w:rtl w:val="1"/>
              </w:rPr>
              <w:t>12 شهراً</w:t>
            </w:r>
          </w:p>
        </w:tc>
      </w:tr>
      <w:tr>
        <w:tc>
          <w:tcPr>
            <w:tcW w:type="dxa" w:w="1872"/>
          </w:tcPr>
          <w:p>
            <w:pPr>
              <w:jc w:val="right"/>
              <w:bidi w:val="1"/>
            </w:pPr>
            <w:r>
              <w:rPr>
                <w:sz w:val="16"/>
                <w:rtl w:val="1"/>
              </w:rPr>
              <w:t>4</w:t>
            </w:r>
          </w:p>
        </w:tc>
        <w:tc>
          <w:tcPr>
            <w:tcW w:type="dxa" w:w="1872"/>
          </w:tcPr>
          <w:p>
            <w:pPr>
              <w:jc w:val="right"/>
              <w:bidi w:val="1"/>
            </w:pPr>
            <w:r>
              <w:rPr>
                <w:sz w:val="16"/>
                <w:rtl w:val="1"/>
              </w:rPr>
              <w:t>تطوير برنامج إدارة الثغرات الأمنية المستمر</w:t>
            </w:r>
          </w:p>
        </w:tc>
        <w:tc>
          <w:tcPr>
            <w:tcW w:type="dxa" w:w="1872"/>
          </w:tcPr>
          <w:p>
            <w:pPr>
              <w:jc w:val="right"/>
              <w:bidi w:val="1"/>
            </w:pPr>
            <w:r>
              <w:rPr>
                <w:sz w:val="16"/>
                <w:rtl w:val="1"/>
              </w:rPr>
              <w:t>معالجة 95% من الثغرات الحرجة خلال 72 ساعة وفق SLA</w:t>
            </w:r>
          </w:p>
        </w:tc>
        <w:tc>
          <w:tcPr>
            <w:tcW w:type="dxa" w:w="1872"/>
          </w:tcPr>
          <w:p>
            <w:pPr>
              <w:jc w:val="right"/>
              <w:bidi w:val="1"/>
            </w:pPr>
            <w:r>
              <w:rPr>
                <w:sz w:val="16"/>
                <w:rtl w:val="1"/>
              </w:rPr>
              <w:t>تقليل نوافذ التعرض للهجمات وتعزيز الامتثال لمتطلبات NCA ECC</w:t>
            </w:r>
          </w:p>
        </w:tc>
        <w:tc>
          <w:tcPr>
            <w:tcW w:type="dxa" w:w="1872"/>
          </w:tcPr>
          <w:p>
            <w:pPr>
              <w:jc w:val="right"/>
              <w:bidi w:val="1"/>
            </w:pPr>
            <w:r>
              <w:rPr>
                <w:sz w:val="16"/>
                <w:rtl w:val="1"/>
              </w:rPr>
              <w:t>12 شهراً</w:t>
            </w:r>
          </w:p>
        </w:tc>
      </w:tr>
      <w:tr>
        <w:tc>
          <w:tcPr>
            <w:tcW w:type="dxa" w:w="1872"/>
          </w:tcPr>
          <w:p>
            <w:pPr>
              <w:jc w:val="right"/>
              <w:bidi w:val="1"/>
            </w:pPr>
            <w:r>
              <w:rPr>
                <w:sz w:val="16"/>
                <w:rtl w:val="1"/>
              </w:rPr>
              <w:t>5</w:t>
            </w:r>
          </w:p>
        </w:tc>
        <w:tc>
          <w:tcPr>
            <w:tcW w:type="dxa" w:w="1872"/>
          </w:tcPr>
          <w:p>
            <w:pPr>
              <w:jc w:val="right"/>
              <w:bidi w:val="1"/>
            </w:pPr>
            <w:r>
              <w:rPr>
                <w:sz w:val="16"/>
                <w:rtl w:val="1"/>
              </w:rPr>
              <w:t>إنشاء وتشغيل مركز عمليات الأمن السيبراني SOC/SIEM</w:t>
            </w:r>
          </w:p>
        </w:tc>
        <w:tc>
          <w:tcPr>
            <w:tcW w:type="dxa" w:w="1872"/>
          </w:tcPr>
          <w:p>
            <w:pPr>
              <w:jc w:val="right"/>
              <w:bidi w:val="1"/>
            </w:pPr>
            <w:r>
              <w:rPr>
                <w:sz w:val="16"/>
                <w:rtl w:val="1"/>
              </w:rPr>
              <w:t>تشغيل مراقبة أمنية مستمرة 24/7 وتغطية 90% من الأنظمة الحرجة خلال 12 شهراً</w:t>
            </w:r>
          </w:p>
        </w:tc>
        <w:tc>
          <w:tcPr>
            <w:tcW w:type="dxa" w:w="1872"/>
          </w:tcPr>
          <w:p>
            <w:pPr>
              <w:jc w:val="right"/>
              <w:bidi w:val="1"/>
            </w:pPr>
            <w:r>
              <w:rPr>
                <w:sz w:val="16"/>
                <w:rtl w:val="1"/>
              </w:rPr>
              <w:t>معالجة فجوة الرصد المستمر وتحسين القدرة على الكشف المبكر والاستجابة للتهديدات</w:t>
            </w:r>
          </w:p>
        </w:tc>
        <w:tc>
          <w:tcPr>
            <w:tcW w:type="dxa" w:w="1872"/>
          </w:tcPr>
          <w:p>
            <w:pPr>
              <w:jc w:val="right"/>
              <w:bidi w:val="1"/>
            </w:pPr>
            <w:r>
              <w:rPr>
                <w:sz w:val="16"/>
                <w:rtl w:val="1"/>
              </w:rPr>
              <w:t>12 شهراً</w:t>
            </w:r>
          </w:p>
        </w:tc>
      </w:tr>
      <w:tr>
        <w:tc>
          <w:tcPr>
            <w:tcW w:type="dxa" w:w="1872"/>
          </w:tcPr>
          <w:p>
            <w:pPr>
              <w:jc w:val="right"/>
              <w:bidi w:val="1"/>
            </w:pPr>
            <w:r>
              <w:rPr>
                <w:sz w:val="16"/>
                <w:rtl w:val="1"/>
              </w:rPr>
              <w:t>6</w:t>
            </w:r>
          </w:p>
        </w:tc>
        <w:tc>
          <w:tcPr>
            <w:tcW w:type="dxa" w:w="1872"/>
          </w:tcPr>
          <w:p>
            <w:pPr>
              <w:jc w:val="right"/>
              <w:bidi w:val="1"/>
            </w:pPr>
            <w:r>
              <w:rPr>
                <w:sz w:val="16"/>
                <w:rtl w:val="1"/>
              </w:rPr>
              <w:t>إنشاء فريق الاستجابة للحوادث السيبرانيةمع خطط مُختبرة وموثّقة</w:t>
            </w:r>
          </w:p>
        </w:tc>
        <w:tc>
          <w:tcPr>
            <w:tcW w:type="dxa" w:w="1872"/>
          </w:tcPr>
          <w:p>
            <w:pPr>
              <w:jc w:val="right"/>
              <w:bidi w:val="1"/>
            </w:pPr>
            <w:r>
              <w:rPr>
                <w:sz w:val="16"/>
                <w:rtl w:val="1"/>
              </w:rPr>
              <w:t>إجراء 4 تمارين محاكاة سنوياً بمعدل إغلاق حوادثلا يقلعن 90%</w:t>
            </w:r>
          </w:p>
        </w:tc>
        <w:tc>
          <w:tcPr>
            <w:tcW w:type="dxa" w:w="1872"/>
          </w:tcPr>
          <w:p>
            <w:pPr>
              <w:jc w:val="right"/>
              <w:bidi w:val="1"/>
            </w:pPr>
            <w:r>
              <w:rPr>
                <w:sz w:val="16"/>
                <w:rtl w:val="1"/>
              </w:rPr>
              <w:t>غياب فريق استجابة مُهيكل يُطيل أمد الحوادث ويرفع تكلفة التعافي</w:t>
            </w:r>
          </w:p>
        </w:tc>
        <w:tc>
          <w:tcPr>
            <w:tcW w:type="dxa" w:w="1872"/>
          </w:tcPr>
          <w:p>
            <w:pPr>
              <w:jc w:val="right"/>
              <w:bidi w:val="1"/>
            </w:pPr>
            <w:r>
              <w:rPr>
                <w:sz w:val="16"/>
                <w:rtl w:val="1"/>
              </w:rPr>
              <w:t>12 شهراً</w:t>
            </w:r>
          </w:p>
        </w:tc>
      </w:tr>
      <w:tr>
        <w:tc>
          <w:tcPr>
            <w:tcW w:type="dxa" w:w="1872"/>
          </w:tcPr>
          <w:p>
            <w:pPr>
              <w:jc w:val="right"/>
              <w:bidi w:val="1"/>
            </w:pPr>
            <w:r>
              <w:rPr>
                <w:sz w:val="16"/>
                <w:rtl w:val="1"/>
              </w:rPr>
              <w:t>7</w:t>
            </w:r>
          </w:p>
        </w:tc>
        <w:tc>
          <w:tcPr>
            <w:tcW w:type="dxa" w:w="1872"/>
          </w:tcPr>
          <w:p>
            <w:pPr>
              <w:jc w:val="right"/>
              <w:bidi w:val="1"/>
            </w:pPr>
            <w:r>
              <w:rPr>
                <w:sz w:val="16"/>
                <w:rtl w:val="1"/>
              </w:rPr>
              <w:t>تنفيذ برنامج اختبار الاختراق الدوري لجميع الأنظمة الجوهرية</w:t>
            </w:r>
          </w:p>
        </w:tc>
        <w:tc>
          <w:tcPr>
            <w:tcW w:type="dxa" w:w="1872"/>
          </w:tcPr>
          <w:p>
            <w:pPr>
              <w:jc w:val="right"/>
              <w:bidi w:val="1"/>
            </w:pPr>
            <w:r>
              <w:rPr>
                <w:sz w:val="16"/>
                <w:rtl w:val="1"/>
              </w:rPr>
              <w:t>تغطية 100% من الأنظمة الحيوية بجولتَي اختبار سنوياً على الأقل</w:t>
            </w:r>
          </w:p>
        </w:tc>
        <w:tc>
          <w:tcPr>
            <w:tcW w:type="dxa" w:w="1872"/>
          </w:tcPr>
          <w:p>
            <w:pPr>
              <w:jc w:val="right"/>
              <w:bidi w:val="1"/>
            </w:pPr>
            <w:r>
              <w:rPr>
                <w:sz w:val="16"/>
                <w:rtl w:val="1"/>
              </w:rPr>
              <w:t>الاعتماد على ضمانات المورّد دون اختبار مستقل يُخفي مواطن الضعف الفعلية</w:t>
            </w:r>
          </w:p>
        </w:tc>
        <w:tc>
          <w:tcPr>
            <w:tcW w:type="dxa" w:w="1872"/>
          </w:tcPr>
          <w:p>
            <w:pPr>
              <w:jc w:val="right"/>
              <w:bidi w:val="1"/>
            </w:pPr>
            <w:r>
              <w:rPr>
                <w:sz w:val="16"/>
                <w:rtl w:val="1"/>
              </w:rPr>
              <w:t>12 شهراً</w:t>
            </w:r>
          </w:p>
        </w:tc>
      </w:tr>
      <w:tr>
        <w:tc>
          <w:tcPr>
            <w:tcW w:type="dxa" w:w="1872"/>
          </w:tcPr>
          <w:p>
            <w:pPr>
              <w:jc w:val="right"/>
              <w:bidi w:val="1"/>
            </w:pPr>
            <w:r>
              <w:rPr>
                <w:sz w:val="16"/>
                <w:rtl w:val="1"/>
              </w:rPr>
              <w:t>8</w:t>
            </w:r>
          </w:p>
        </w:tc>
        <w:tc>
          <w:tcPr>
            <w:tcW w:type="dxa" w:w="1872"/>
          </w:tcPr>
          <w:p>
            <w:pPr>
              <w:jc w:val="right"/>
              <w:bidi w:val="1"/>
            </w:pPr>
            <w:r>
              <w:rPr>
                <w:sz w:val="16"/>
                <w:rtl w:val="1"/>
              </w:rPr>
              <w:t>تعزيز حماية البيانات عبر التصنيف والتشفير وDLP</w:t>
            </w:r>
          </w:p>
        </w:tc>
        <w:tc>
          <w:tcPr>
            <w:tcW w:type="dxa" w:w="1872"/>
          </w:tcPr>
          <w:p>
            <w:pPr>
              <w:jc w:val="right"/>
              <w:bidi w:val="1"/>
            </w:pPr>
            <w:r>
              <w:rPr>
                <w:sz w:val="16"/>
                <w:rtl w:val="1"/>
              </w:rPr>
              <w:t>حماية 95% من البيانات الحساسة المصنفة</w:t>
            </w:r>
          </w:p>
        </w:tc>
        <w:tc>
          <w:tcPr>
            <w:tcW w:type="dxa" w:w="1872"/>
          </w:tcPr>
          <w:p>
            <w:pPr>
              <w:jc w:val="right"/>
              <w:bidi w:val="1"/>
            </w:pPr>
            <w:r>
              <w:rPr>
                <w:sz w:val="16"/>
                <w:rtl w:val="1"/>
              </w:rPr>
              <w:t>تلبية متطلبات NCA DCC لحماية البيانات</w:t>
            </w:r>
          </w:p>
        </w:tc>
        <w:tc>
          <w:tcPr>
            <w:tcW w:type="dxa" w:w="1872"/>
          </w:tcPr>
          <w:p>
            <w:pPr>
              <w:jc w:val="right"/>
              <w:bidi w:val="1"/>
            </w:pPr>
            <w:r>
              <w:rPr>
                <w:sz w:val="16"/>
                <w:rtl w:val="1"/>
              </w:rPr>
              <w:t>18 شهر</w:t>
            </w:r>
          </w:p>
        </w:tc>
      </w:tr>
    </w:tbl>
    <w:p/>
    <w:p>
      <w:r>
        <w:br w:type="page"/>
      </w:r>
    </w:p>
    <w:p>
      <w:pPr>
        <w:spacing w:before="160" w:after="40"/>
        <w:jc w:val="right"/>
        <w:bidi w:val="1"/>
      </w:pPr>
      <w:r>
        <w:rPr>
          <w:b/>
          <w:color w:val="1D2B4F"/>
          <w:sz w:val="28"/>
          <w:rtl w:val="1"/>
        </w:rPr>
        <w:t>الركائز الاستراتيجية</w:t>
      </w:r>
    </w:p>
    <w:p>
      <w:pPr>
        <w:pBdr>
          <w:bottom w:val="single" w:sz="12" w:space="2" w:color="D04A02"/>
        </w:pBdr>
        <w:spacing w:after="160"/>
      </w:pPr>
    </w:p>
    <w:p>
      <w:r>
        <w:br w:type="page"/>
      </w:r>
    </w:p>
    <w:p>
      <w:pPr>
        <w:spacing w:before="160" w:after="40"/>
        <w:jc w:val="right"/>
        <w:bidi w:val="1"/>
      </w:pPr>
      <w:r>
        <w:rPr>
          <w:b/>
          <w:color w:val="1D2B4F"/>
          <w:sz w:val="28"/>
          <w:rtl w:val="1"/>
        </w:rPr>
        <w:t>البيئة التنظيمية والتهديدات</w:t>
      </w:r>
    </w:p>
    <w:p>
      <w:pPr>
        <w:pBdr>
          <w:bottom w:val="single" w:sz="12" w:space="2" w:color="D04A02"/>
        </w:pBdr>
        <w:spacing w:after="160"/>
      </w:pPr>
    </w:p>
    <w:p>
      <w:pPr>
        <w:spacing w:after="120"/>
        <w:jc w:val="right"/>
        <w:bidi w:val="1"/>
      </w:pPr>
      <w:r>
        <w:rPr>
          <w:sz w:val="20"/>
          <w:rtl w:val="1"/>
        </w:rPr>
        <w:t>السياق التنظيمي: يفرض الإطار التنظيمي المُطبَّق على منظمتي — وعلى رأسه متطلبات NCA ECC, NCA DCC المعمول بها في قطاع حكومي — التزامات محدّدة على حوكمة الأمن السيبراني، بما يشمل إثبات تطبيق الضوابط والحوكمة المستمرة وإعداد أدلة التدقيق وفق اللوائح والأنظمة السارية. وتشمل الأُطر التنظيمية المختارة المُلزِمة لـمنظمتي: NCA ECC، NCA DCC. إذ تكشف القدرات الأساسية عن فجوات يجب سدّها قبل تحقيق أي التزام مستدام.</w:t>
      </w:r>
    </w:p>
    <w:p>
      <w:pPr>
        <w:spacing w:after="120"/>
        <w:jc w:val="right"/>
        <w:bidi w:val="1"/>
      </w:pPr>
      <w:r>
        <w:rPr>
          <w:sz w:val="20"/>
          <w:rtl w:val="1"/>
        </w:rPr>
        <w:t>سياق التهديدات: تُشير البيانات العامة لفرق الاستجابة الوطنية خلال آخر دورة تقرير إلى ارتفاع ملحوظ في حوادث اختراق سلاسل الإمداد، والتصيد الموجّه، وحملات برامج الفدية — مما يرفع أولوية تحصين ضوابط الأمن السيبراني لدى منظمتي وتسريع النضج التشغيلي في الاستجابة للحوادث.</w:t>
      </w:r>
    </w:p>
    <w:p>
      <w:pPr>
        <w:spacing w:after="120"/>
        <w:jc w:val="right"/>
        <w:bidi w:val="1"/>
      </w:pPr>
      <w:r>
        <w:rPr>
          <w:sz w:val="20"/>
          <w:rtl w:val="1"/>
        </w:rPr>
        <w:t>السياق التشغيلي وسياق الأعمال: يترتب على منظمتي موازنة متطلبات التحول الرقمي مع الحفاظ على استمرارية الأعمال والعمليات في قطاع حكومي، وضمان أن تواكب استثمارات الأمن السيبراني وتيرة توسع الخدمات والعمليات دون إحداث فجوات تدقيقية أو ضغط تشغيلي على الكوادر.</w:t>
      </w: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التهديد / الفجوة</w:t>
            </w:r>
          </w:p>
        </w:tc>
        <w:tc>
          <w:tcPr>
            <w:tcW w:type="dxa" w:w="2340"/>
            <w:shd w:val="clear" w:color="auto" w:fill="1D2B4F"/>
          </w:tcPr>
          <w:p>
            <w:pPr>
              <w:jc w:val="right"/>
              <w:bidi w:val="1"/>
            </w:pPr>
            <w:r>
              <w:rPr>
                <w:b/>
                <w:color w:val="FFFFFF"/>
                <w:sz w:val="18"/>
                <w:rtl w:val="1"/>
              </w:rPr>
              <w:t>الأثر</w:t>
            </w:r>
          </w:p>
        </w:tc>
        <w:tc>
          <w:tcPr>
            <w:tcW w:type="dxa" w:w="2340"/>
            <w:shd w:val="clear" w:color="auto" w:fill="1D2B4F"/>
          </w:tcPr>
          <w:p>
            <w:pPr>
              <w:jc w:val="right"/>
              <w:bidi w:val="1"/>
            </w:pPr>
            <w:r>
              <w:rPr>
                <w:b/>
                <w:color w:val="FFFFFF"/>
                <w:sz w:val="18"/>
                <w:rtl w:val="1"/>
              </w:rPr>
              <w:t>الأولوية</w:t>
            </w:r>
          </w:p>
        </w:tc>
        <w:tc>
          <w:tcPr>
            <w:tcW w:type="dxa" w:w="2340"/>
            <w:shd w:val="clear" w:color="auto" w:fill="1D2B4F"/>
          </w:tcPr>
          <w:p>
            <w:pPr>
              <w:jc w:val="right"/>
              <w:bidi w:val="1"/>
            </w:pPr>
            <w:r>
              <w:rPr>
                <w:b/>
                <w:color w:val="FFFFFF"/>
                <w:sz w:val="18"/>
                <w:rtl w:val="1"/>
              </w:rPr>
              <w:t>المعالجة المقترحة</w:t>
            </w:r>
          </w:p>
        </w:tc>
      </w:tr>
      <w:tr>
        <w:tc>
          <w:tcPr>
            <w:tcW w:type="dxa" w:w="2340"/>
          </w:tcPr>
          <w:p>
            <w:pPr>
              <w:jc w:val="right"/>
              <w:bidi w:val="1"/>
            </w:pPr>
            <w:r>
              <w:rPr>
                <w:sz w:val="16"/>
                <w:rtl w:val="1"/>
              </w:rPr>
              <w:t>تنظيمي</w:t>
            </w:r>
          </w:p>
        </w:tc>
        <w:tc>
          <w:tcPr>
            <w:tcW w:type="dxa" w:w="2340"/>
          </w:tcPr>
          <w:p>
            <w:pPr>
              <w:jc w:val="right"/>
              <w:bidi w:val="1"/>
            </w:pPr>
            <w:r>
              <w:rPr>
                <w:sz w:val="16"/>
                <w:rtl w:val="1"/>
              </w:rPr>
              <w:t>عالٍ</w:t>
            </w:r>
          </w:p>
        </w:tc>
        <w:tc>
          <w:tcPr>
            <w:tcW w:type="dxa" w:w="2340"/>
          </w:tcPr>
          <w:p>
            <w:pPr>
              <w:jc w:val="right"/>
              <w:bidi w:val="1"/>
            </w:pPr>
            <w:r>
              <w:rPr>
                <w:sz w:val="16"/>
                <w:rtl w:val="1"/>
              </w:rPr>
              <w:t>عالية</w:t>
            </w:r>
          </w:p>
        </w:tc>
        <w:tc>
          <w:tcPr>
            <w:tcW w:type="dxa" w:w="2340"/>
          </w:tcPr>
          <w:p>
            <w:pPr>
              <w:jc w:val="right"/>
              <w:bidi w:val="1"/>
            </w:pPr>
            <w:r>
              <w:rPr>
                <w:sz w:val="16"/>
                <w:rtl w:val="1"/>
              </w:rPr>
              <w:t>تطبيق الضوابط المرتبطة ومتابعتها</w:t>
            </w:r>
          </w:p>
        </w:tc>
      </w:tr>
      <w:tr>
        <w:tc>
          <w:tcPr>
            <w:tcW w:type="dxa" w:w="2340"/>
          </w:tcPr>
          <w:p>
            <w:pPr>
              <w:jc w:val="right"/>
              <w:bidi w:val="1"/>
            </w:pPr>
            <w:r>
              <w:rPr>
                <w:sz w:val="16"/>
                <w:rtl w:val="1"/>
              </w:rPr>
              <w:t>تهديد</w:t>
            </w:r>
          </w:p>
        </w:tc>
        <w:tc>
          <w:tcPr>
            <w:tcW w:type="dxa" w:w="2340"/>
          </w:tcPr>
          <w:p>
            <w:pPr>
              <w:jc w:val="right"/>
              <w:bidi w:val="1"/>
            </w:pPr>
            <w:r>
              <w:rPr>
                <w:sz w:val="16"/>
                <w:rtl w:val="1"/>
              </w:rPr>
              <w:t>عالٍ</w:t>
            </w:r>
          </w:p>
        </w:tc>
        <w:tc>
          <w:tcPr>
            <w:tcW w:type="dxa" w:w="2340"/>
          </w:tcPr>
          <w:p>
            <w:pPr>
              <w:jc w:val="right"/>
              <w:bidi w:val="1"/>
            </w:pPr>
            <w:r>
              <w:rPr>
                <w:sz w:val="16"/>
                <w:rtl w:val="1"/>
              </w:rPr>
              <w:t>عالية</w:t>
            </w:r>
          </w:p>
        </w:tc>
        <w:tc>
          <w:tcPr>
            <w:tcW w:type="dxa" w:w="2340"/>
          </w:tcPr>
          <w:p>
            <w:pPr>
              <w:jc w:val="right"/>
              <w:bidi w:val="1"/>
            </w:pPr>
            <w:r>
              <w:rPr>
                <w:sz w:val="16"/>
                <w:rtl w:val="1"/>
              </w:rPr>
              <w:t>تطبيق الضوابط المرتبطة ومتابعتها</w:t>
            </w:r>
          </w:p>
        </w:tc>
      </w:tr>
      <w:tr>
        <w:tc>
          <w:tcPr>
            <w:tcW w:type="dxa" w:w="2340"/>
          </w:tcPr>
          <w:p>
            <w:pPr>
              <w:jc w:val="right"/>
              <w:bidi w:val="1"/>
            </w:pPr>
            <w:r>
              <w:rPr>
                <w:sz w:val="16"/>
                <w:rtl w:val="1"/>
              </w:rPr>
              <w:t>أعمال</w:t>
            </w:r>
          </w:p>
        </w:tc>
        <w:tc>
          <w:tcPr>
            <w:tcW w:type="dxa" w:w="2340"/>
          </w:tcPr>
          <w:p>
            <w:pPr>
              <w:jc w:val="right"/>
              <w:bidi w:val="1"/>
            </w:pPr>
            <w:r>
              <w:rPr>
                <w:sz w:val="16"/>
                <w:rtl w:val="1"/>
              </w:rPr>
              <w:t>متوسط</w:t>
            </w:r>
          </w:p>
        </w:tc>
        <w:tc>
          <w:tcPr>
            <w:tcW w:type="dxa" w:w="2340"/>
          </w:tcPr>
          <w:p>
            <w:pPr>
              <w:jc w:val="right"/>
              <w:bidi w:val="1"/>
            </w:pPr>
            <w:r>
              <w:rPr>
                <w:sz w:val="16"/>
                <w:rtl w:val="1"/>
              </w:rPr>
              <w:t>متوسطة</w:t>
            </w:r>
          </w:p>
        </w:tc>
        <w:tc>
          <w:tcPr>
            <w:tcW w:type="dxa" w:w="2340"/>
          </w:tcPr>
          <w:p>
            <w:pPr>
              <w:jc w:val="right"/>
              <w:bidi w:val="1"/>
            </w:pPr>
            <w:r>
              <w:rPr>
                <w:sz w:val="16"/>
                <w:rtl w:val="1"/>
              </w:rPr>
              <w:t>تطبيق الضوابط المرتبطة ومتابعتها</w:t>
            </w:r>
          </w:p>
        </w:tc>
      </w:tr>
    </w:tbl>
    <w:p/>
    <w:p>
      <w:r>
        <w:br w:type="page"/>
      </w:r>
    </w:p>
    <w:p>
      <w:pPr>
        <w:spacing w:before="160" w:after="40"/>
        <w:jc w:val="right"/>
        <w:bidi w:val="1"/>
      </w:pPr>
      <w:r>
        <w:rPr>
          <w:b/>
          <w:color w:val="1D2B4F"/>
          <w:sz w:val="28"/>
          <w:rtl w:val="1"/>
        </w:rPr>
        <w:t>تحليل الفجوات</w:t>
      </w:r>
    </w:p>
    <w:p>
      <w:pPr>
        <w:pBdr>
          <w:bottom w:val="single" w:sz="12" w:space="2" w:color="D04A02"/>
        </w:pBdr>
        <w:spacing w:after="160"/>
      </w:pP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الفجوة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الأولوية</w:t>
            </w:r>
          </w:p>
        </w:tc>
        <w:tc>
          <w:tcPr>
            <w:tcW w:type="dxa" w:w="1872"/>
            <w:shd w:val="clear" w:color="auto" w:fill="1D2B4F"/>
          </w:tcPr>
          <w:p>
            <w:pPr>
              <w:jc w:val="right"/>
              <w:bidi w:val="1"/>
            </w:pPr>
            <w:r>
              <w:rPr>
                <w:b/>
                <w:color w:val="FFFFFF"/>
                <w:sz w:val="18"/>
                <w:rtl w:val="1"/>
              </w:rPr>
              <w:t>الحالة</w:t>
            </w:r>
          </w:p>
        </w:tc>
      </w:tr>
      <w:tr>
        <w:tc>
          <w:tcPr>
            <w:tcW w:type="dxa" w:w="1872"/>
          </w:tcPr>
          <w:p>
            <w:pPr>
              <w:jc w:val="right"/>
              <w:bidi w:val="1"/>
            </w:pPr>
            <w:r>
              <w:rPr>
                <w:sz w:val="16"/>
                <w:rtl w:val="1"/>
              </w:rPr>
              <w:t>1</w:t>
            </w:r>
          </w:p>
        </w:tc>
        <w:tc>
          <w:tcPr>
            <w:tcW w:type="dxa" w:w="1872"/>
          </w:tcPr>
          <w:p>
            <w:pPr>
              <w:jc w:val="right"/>
              <w:bidi w:val="1"/>
            </w:pPr>
            <w:r>
              <w:rPr>
                <w:sz w:val="16"/>
                <w:rtl w:val="1"/>
              </w:rPr>
              <w:t>غياب وظيفة CISO وهيكل حوكمة الأمن السيبراني</w:t>
            </w:r>
          </w:p>
        </w:tc>
        <w:tc>
          <w:tcPr>
            <w:tcW w:type="dxa" w:w="1872"/>
          </w:tcPr>
          <w:p>
            <w:pPr>
              <w:jc w:val="right"/>
              <w:bidi w:val="1"/>
            </w:pPr>
            <w:r>
              <w:rPr>
                <w:sz w:val="16"/>
                <w:rtl w:val="1"/>
              </w:rPr>
              <w:t>لا توجد قيادة رسمية للأمن السيبراني، ولا سياسات معتمدة، ولا لجنة حوكمة مخصصة تربط متطلبات NCA ECC بالقرار التنظيمي</w:t>
            </w:r>
          </w:p>
        </w:tc>
        <w:tc>
          <w:tcPr>
            <w:tcW w:type="dxa" w:w="1872"/>
          </w:tcPr>
          <w:p>
            <w:pPr>
              <w:jc w:val="right"/>
              <w:bidi w:val="1"/>
            </w:pPr>
            <w:r>
              <w:rPr>
                <w:sz w:val="16"/>
                <w:rtl w:val="1"/>
              </w:rPr>
              <w:t>حرجة</w:t>
            </w:r>
          </w:p>
        </w:tc>
        <w:tc>
          <w:tcPr>
            <w:tcW w:type="dxa" w:w="1872"/>
          </w:tcPr>
          <w:p>
            <w:pPr>
              <w:jc w:val="right"/>
              <w:bidi w:val="1"/>
            </w:pPr>
            <w:r>
              <w:rPr>
                <w:sz w:val="16"/>
                <w:rtl w:val="1"/>
              </w:rPr>
              <w:t>مفتوحة</w:t>
            </w:r>
          </w:p>
        </w:tc>
      </w:tr>
      <w:tr>
        <w:tc>
          <w:tcPr>
            <w:tcW w:type="dxa" w:w="1872"/>
          </w:tcPr>
          <w:p>
            <w:pPr>
              <w:jc w:val="right"/>
              <w:bidi w:val="1"/>
            </w:pPr>
            <w:r>
              <w:rPr>
                <w:sz w:val="16"/>
                <w:rtl w:val="1"/>
              </w:rPr>
              <w:t>2</w:t>
            </w:r>
          </w:p>
        </w:tc>
        <w:tc>
          <w:tcPr>
            <w:tcW w:type="dxa" w:w="1872"/>
          </w:tcPr>
          <w:p>
            <w:pPr>
              <w:jc w:val="right"/>
              <w:bidi w:val="1"/>
            </w:pPr>
            <w:r>
              <w:rPr>
                <w:sz w:val="16"/>
                <w:rtl w:val="1"/>
              </w:rPr>
              <w:t>غياب مركز العمليات الأمنية SOC وأدوات SIEM</w:t>
            </w:r>
          </w:p>
        </w:tc>
        <w:tc>
          <w:tcPr>
            <w:tcW w:type="dxa" w:w="1872"/>
          </w:tcPr>
          <w:p>
            <w:pPr>
              <w:jc w:val="right"/>
              <w:bidi w:val="1"/>
            </w:pPr>
            <w:r>
              <w:rPr>
                <w:sz w:val="16"/>
                <w:rtl w:val="1"/>
              </w:rPr>
              <w:t>لا تمتلك المنظمة قدرة رصد أمني مستمرة، مما يُعرّض البيئة الحكومية لتهديدات غير مكتشفة وفق متطلبات NCA ECC-1-1</w:t>
            </w:r>
          </w:p>
        </w:tc>
        <w:tc>
          <w:tcPr>
            <w:tcW w:type="dxa" w:w="1872"/>
          </w:tcPr>
          <w:p>
            <w:pPr>
              <w:jc w:val="right"/>
              <w:bidi w:val="1"/>
            </w:pPr>
            <w:r>
              <w:rPr>
                <w:sz w:val="16"/>
                <w:rtl w:val="1"/>
              </w:rPr>
              <w:t>حرجة</w:t>
            </w:r>
          </w:p>
        </w:tc>
        <w:tc>
          <w:tcPr>
            <w:tcW w:type="dxa" w:w="1872"/>
          </w:tcPr>
          <w:p>
            <w:pPr>
              <w:jc w:val="right"/>
              <w:bidi w:val="1"/>
            </w:pPr>
            <w:r>
              <w:rPr>
                <w:sz w:val="16"/>
                <w:rtl w:val="1"/>
              </w:rPr>
              <w:t>مفتوحة</w:t>
            </w:r>
          </w:p>
        </w:tc>
      </w:tr>
      <w:tr>
        <w:tc>
          <w:tcPr>
            <w:tcW w:type="dxa" w:w="1872"/>
          </w:tcPr>
          <w:p>
            <w:pPr>
              <w:jc w:val="right"/>
              <w:bidi w:val="1"/>
            </w:pPr>
            <w:r>
              <w:rPr>
                <w:sz w:val="16"/>
                <w:rtl w:val="1"/>
              </w:rPr>
              <w:t>3</w:t>
            </w:r>
          </w:p>
        </w:tc>
        <w:tc>
          <w:tcPr>
            <w:tcW w:type="dxa" w:w="1872"/>
          </w:tcPr>
          <w:p>
            <w:pPr>
              <w:jc w:val="right"/>
              <w:bidi w:val="1"/>
            </w:pPr>
            <w:r>
              <w:rPr>
                <w:sz w:val="16"/>
                <w:rtl w:val="1"/>
              </w:rPr>
              <w:t>ضعف إدارة الهوية والوصول IAM / PAM / MFA</w:t>
            </w:r>
          </w:p>
        </w:tc>
        <w:tc>
          <w:tcPr>
            <w:tcW w:type="dxa" w:w="1872"/>
          </w:tcPr>
          <w:p>
            <w:pPr>
              <w:jc w:val="right"/>
              <w:bidi w:val="1"/>
            </w:pPr>
            <w:r>
              <w:rPr>
                <w:sz w:val="16"/>
                <w:rtl w:val="1"/>
              </w:rPr>
              <w:t>غياب التحكم في الوصول المتميز وتعدد عوامل المصادقة، مما يُشكّل ثغرة أمنية جوهرية في بيئات البيانات الحكومية وفق NCA DCC</w:t>
            </w:r>
          </w:p>
        </w:tc>
        <w:tc>
          <w:tcPr>
            <w:tcW w:type="dxa" w:w="1872"/>
          </w:tcPr>
          <w:p>
            <w:pPr>
              <w:jc w:val="right"/>
              <w:bidi w:val="1"/>
            </w:pPr>
            <w:r>
              <w:rPr>
                <w:sz w:val="16"/>
                <w:rtl w:val="1"/>
              </w:rPr>
              <w:t>عالية</w:t>
            </w:r>
          </w:p>
        </w:tc>
        <w:tc>
          <w:tcPr>
            <w:tcW w:type="dxa" w:w="1872"/>
          </w:tcPr>
          <w:p>
            <w:pPr>
              <w:jc w:val="right"/>
              <w:bidi w:val="1"/>
            </w:pPr>
            <w:r>
              <w:rPr>
                <w:sz w:val="16"/>
                <w:rtl w:val="1"/>
              </w:rPr>
              <w:t>مفتوحة</w:t>
            </w:r>
          </w:p>
        </w:tc>
      </w:tr>
      <w:tr>
        <w:tc>
          <w:tcPr>
            <w:tcW w:type="dxa" w:w="1872"/>
          </w:tcPr>
          <w:p>
            <w:pPr>
              <w:jc w:val="right"/>
              <w:bidi w:val="1"/>
            </w:pPr>
            <w:r>
              <w:rPr>
                <w:sz w:val="16"/>
                <w:rtl w:val="1"/>
              </w:rPr>
              <w:t>4</w:t>
            </w:r>
          </w:p>
        </w:tc>
        <w:tc>
          <w:tcPr>
            <w:tcW w:type="dxa" w:w="1872"/>
          </w:tcPr>
          <w:p>
            <w:pPr>
              <w:jc w:val="right"/>
              <w:bidi w:val="1"/>
            </w:pPr>
            <w:r>
              <w:rPr>
                <w:sz w:val="16"/>
                <w:rtl w:val="1"/>
              </w:rPr>
              <w:t>غياب فريق الاستجابة للحوادث CSIRT وخطة رسمية</w:t>
            </w:r>
          </w:p>
        </w:tc>
        <w:tc>
          <w:tcPr>
            <w:tcW w:type="dxa" w:w="1872"/>
          </w:tcPr>
          <w:p>
            <w:pPr>
              <w:jc w:val="right"/>
              <w:bidi w:val="1"/>
            </w:pPr>
            <w:r>
              <w:rPr>
                <w:sz w:val="16"/>
                <w:rtl w:val="1"/>
              </w:rPr>
              <w:t>لا توجد إجراءات موثقة للاستجابة للحوادث ولا فريق CSIRT معيّن، مما يزيد من أثر الاختراق وزمن التعافي</w:t>
            </w:r>
          </w:p>
        </w:tc>
        <w:tc>
          <w:tcPr>
            <w:tcW w:type="dxa" w:w="1872"/>
          </w:tcPr>
          <w:p>
            <w:pPr>
              <w:jc w:val="right"/>
              <w:bidi w:val="1"/>
            </w:pPr>
            <w:r>
              <w:rPr>
                <w:sz w:val="16"/>
                <w:rtl w:val="1"/>
              </w:rPr>
              <w:t>عالية</w:t>
            </w:r>
          </w:p>
        </w:tc>
        <w:tc>
          <w:tcPr>
            <w:tcW w:type="dxa" w:w="1872"/>
          </w:tcPr>
          <w:p>
            <w:pPr>
              <w:jc w:val="right"/>
              <w:bidi w:val="1"/>
            </w:pPr>
            <w:r>
              <w:rPr>
                <w:sz w:val="16"/>
                <w:rtl w:val="1"/>
              </w:rPr>
              <w:t>مفتوحة</w:t>
            </w:r>
          </w:p>
        </w:tc>
      </w:tr>
      <w:tr>
        <w:tc>
          <w:tcPr>
            <w:tcW w:type="dxa" w:w="1872"/>
          </w:tcPr>
          <w:p>
            <w:pPr>
              <w:jc w:val="right"/>
              <w:bidi w:val="1"/>
            </w:pPr>
            <w:r>
              <w:rPr>
                <w:sz w:val="16"/>
                <w:rtl w:val="1"/>
              </w:rPr>
              <w:t>5</w:t>
            </w:r>
          </w:p>
        </w:tc>
        <w:tc>
          <w:tcPr>
            <w:tcW w:type="dxa" w:w="1872"/>
          </w:tcPr>
          <w:p>
            <w:pPr>
              <w:jc w:val="right"/>
              <w:bidi w:val="1"/>
            </w:pPr>
            <w:r>
              <w:rPr>
                <w:sz w:val="16"/>
                <w:rtl w:val="1"/>
              </w:rPr>
              <w:t>قصور إدارة الثغرات الأمنية وغياب DLP والوصول عن بُعد الآمن</w:t>
            </w:r>
          </w:p>
        </w:tc>
        <w:tc>
          <w:tcPr>
            <w:tcW w:type="dxa" w:w="1872"/>
          </w:tcPr>
          <w:p>
            <w:pPr>
              <w:jc w:val="right"/>
              <w:bidi w:val="1"/>
            </w:pPr>
            <w:r>
              <w:rPr>
                <w:sz w:val="16"/>
                <w:rtl w:val="1"/>
              </w:rPr>
              <w:t>لا تُجرى دورات اختبار الاختراق أو مسح الثغرات بانتظام، ولا توجد ضوابط لمنع فقدان البيانات أو تأمين الوصول عن بُعد وفق NCA ECC-2-3</w:t>
            </w:r>
          </w:p>
        </w:tc>
        <w:tc>
          <w:tcPr>
            <w:tcW w:type="dxa" w:w="1872"/>
          </w:tcPr>
          <w:p>
            <w:pPr>
              <w:jc w:val="right"/>
              <w:bidi w:val="1"/>
            </w:pPr>
            <w:r>
              <w:rPr>
                <w:sz w:val="16"/>
                <w:rtl w:val="1"/>
              </w:rPr>
              <w:t>متوسطة</w:t>
            </w:r>
          </w:p>
        </w:tc>
        <w:tc>
          <w:tcPr>
            <w:tcW w:type="dxa" w:w="1872"/>
          </w:tcPr>
          <w:p>
            <w:pPr>
              <w:jc w:val="right"/>
              <w:bidi w:val="1"/>
            </w:pPr>
            <w:r>
              <w:rPr>
                <w:sz w:val="16"/>
                <w:rtl w:val="1"/>
              </w:rPr>
              <w:t>مفتوحة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تحديد مسمى CISO رسمياً ورفع مقترح التعيين لصاحب الصلاحية مع تحديد نطاق المسؤوليات والتبعية التنظيمية</w:t>
            </w:r>
          </w:p>
        </w:tc>
        <w:tc>
          <w:tcPr>
            <w:tcW w:type="dxa" w:w="1872"/>
          </w:tcPr>
          <w:p>
            <w:pPr>
              <w:jc w:val="right"/>
              <w:bidi w:val="1"/>
            </w:pPr>
            <w:r>
              <w:rPr>
                <w:sz w:val="16"/>
                <w:rtl w:val="1"/>
              </w:rPr>
              <w:t>الإدارة العليا</w:t>
            </w:r>
          </w:p>
        </w:tc>
        <w:tc>
          <w:tcPr>
            <w:tcW w:type="dxa" w:w="1872"/>
          </w:tcPr>
          <w:p>
            <w:pPr>
              <w:jc w:val="right"/>
              <w:bidi w:val="1"/>
            </w:pPr>
            <w:r>
              <w:rPr>
                <w:sz w:val="16"/>
                <w:rtl w:val="1"/>
              </w:rPr>
              <w:t>الشهر 1</w:t>
            </w:r>
          </w:p>
        </w:tc>
        <w:tc>
          <w:tcPr>
            <w:tcW w:type="dxa" w:w="1872"/>
          </w:tcPr>
          <w:p>
            <w:pPr>
              <w:jc w:val="right"/>
              <w:bidi w:val="1"/>
            </w:pPr>
            <w:r>
              <w:rPr>
                <w:sz w:val="16"/>
                <w:rtl w:val="1"/>
              </w:rPr>
              <w:t>قرار تعيين CISO معتمد</w:t>
            </w:r>
          </w:p>
        </w:tc>
      </w:tr>
      <w:tr>
        <w:tc>
          <w:tcPr>
            <w:tcW w:type="dxa" w:w="1872"/>
          </w:tcPr>
          <w:p>
            <w:pPr>
              <w:jc w:val="right"/>
              <w:bidi w:val="1"/>
            </w:pPr>
            <w:r>
              <w:rPr>
                <w:sz w:val="16"/>
                <w:rtl w:val="1"/>
              </w:rPr>
              <w:t>2</w:t>
            </w:r>
          </w:p>
        </w:tc>
        <w:tc>
          <w:tcPr>
            <w:tcW w:type="dxa" w:w="1872"/>
          </w:tcPr>
          <w:p>
            <w:pPr>
              <w:jc w:val="right"/>
              <w:bidi w:val="1"/>
            </w:pPr>
            <w:r>
              <w:rPr>
                <w:sz w:val="16"/>
                <w:rtl w:val="1"/>
              </w:rPr>
              <w:t>تشكيل لجنة حوكمة الأمن السيبراني وتحديد أعضائها من وحدات الأعمال الرئيسية والقانونية والتقنية</w:t>
            </w:r>
          </w:p>
        </w:tc>
        <w:tc>
          <w:tcPr>
            <w:tcW w:type="dxa" w:w="1872"/>
          </w:tcPr>
          <w:p>
            <w:pPr>
              <w:jc w:val="right"/>
              <w:bidi w:val="1"/>
            </w:pPr>
            <w:r>
              <w:rPr>
                <w:sz w:val="16"/>
                <w:rtl w:val="1"/>
              </w:rPr>
              <w:t>CISO</w:t>
            </w:r>
          </w:p>
        </w:tc>
        <w:tc>
          <w:tcPr>
            <w:tcW w:type="dxa" w:w="1872"/>
          </w:tcPr>
          <w:p>
            <w:pPr>
              <w:jc w:val="right"/>
              <w:bidi w:val="1"/>
            </w:pPr>
            <w:r>
              <w:rPr>
                <w:sz w:val="16"/>
                <w:rtl w:val="1"/>
              </w:rPr>
              <w:t>الشهر 2</w:t>
            </w:r>
          </w:p>
        </w:tc>
        <w:tc>
          <w:tcPr>
            <w:tcW w:type="dxa" w:w="1872"/>
          </w:tcPr>
          <w:p>
            <w:pPr>
              <w:jc w:val="right"/>
              <w:bidi w:val="1"/>
            </w:pPr>
            <w:r>
              <w:rPr>
                <w:sz w:val="16"/>
                <w:rtl w:val="1"/>
              </w:rPr>
              <w:t>ميثاق لجنة الحوكمة موقّع</w:t>
            </w:r>
          </w:p>
        </w:tc>
      </w:tr>
      <w:tr>
        <w:tc>
          <w:tcPr>
            <w:tcW w:type="dxa" w:w="1872"/>
          </w:tcPr>
          <w:p>
            <w:pPr>
              <w:jc w:val="right"/>
              <w:bidi w:val="1"/>
            </w:pPr>
            <w:r>
              <w:rPr>
                <w:sz w:val="16"/>
                <w:rtl w:val="1"/>
              </w:rPr>
              <w:t>3</w:t>
            </w:r>
          </w:p>
        </w:tc>
        <w:tc>
          <w:tcPr>
            <w:tcW w:type="dxa" w:w="1872"/>
          </w:tcPr>
          <w:p>
            <w:pPr>
              <w:jc w:val="right"/>
              <w:bidi w:val="1"/>
            </w:pPr>
            <w:r>
              <w:rPr>
                <w:sz w:val="16"/>
                <w:rtl w:val="1"/>
              </w:rPr>
              <w:t>تطوير منظومة السياسات الأمنية الأساسية وآلية مراجعتها السنوية استناداً إلى متطلبات NCA ECC</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3</w:t>
            </w:r>
          </w:p>
        </w:tc>
        <w:tc>
          <w:tcPr>
            <w:tcW w:type="dxa" w:w="1872"/>
          </w:tcPr>
          <w:p>
            <w:pPr>
              <w:jc w:val="right"/>
              <w:bidi w:val="1"/>
            </w:pPr>
            <w:r>
              <w:rPr>
                <w:sz w:val="16"/>
                <w:rtl w:val="1"/>
              </w:rPr>
              <w:t>حزمة سياسات أمنية معتمدة</w:t>
            </w:r>
          </w:p>
        </w:tc>
      </w:tr>
      <w:tr>
        <w:tc>
          <w:tcPr>
            <w:tcW w:type="dxa" w:w="1872"/>
          </w:tcPr>
          <w:p>
            <w:pPr>
              <w:jc w:val="right"/>
              <w:bidi w:val="1"/>
            </w:pPr>
            <w:r>
              <w:rPr>
                <w:sz w:val="16"/>
                <w:rtl w:val="1"/>
              </w:rPr>
              <w:t>4</w:t>
            </w:r>
          </w:p>
        </w:tc>
        <w:tc>
          <w:tcPr>
            <w:tcW w:type="dxa" w:w="1872"/>
          </w:tcPr>
          <w:p>
            <w:pPr>
              <w:jc w:val="right"/>
              <w:bidi w:val="1"/>
            </w:pPr>
            <w:r>
              <w:rPr>
                <w:sz w:val="16"/>
                <w:rtl w:val="1"/>
              </w:rPr>
              <w:t>إنشاء إطار إدارة مخاطر الأمن السيبراني وتحديد شهية المخاطر التنظيمية وآلية إعداد التقارير الدورية لصاحب القرار</w:t>
            </w:r>
          </w:p>
        </w:tc>
        <w:tc>
          <w:tcPr>
            <w:tcW w:type="dxa" w:w="1872"/>
          </w:tcPr>
          <w:p>
            <w:pPr>
              <w:jc w:val="right"/>
              <w:bidi w:val="1"/>
            </w:pPr>
            <w:r>
              <w:rPr>
                <w:sz w:val="16"/>
                <w:rtl w:val="1"/>
              </w:rPr>
              <w:t>CISO</w:t>
            </w:r>
          </w:p>
        </w:tc>
        <w:tc>
          <w:tcPr>
            <w:tcW w:type="dxa" w:w="1872"/>
          </w:tcPr>
          <w:p>
            <w:pPr>
              <w:jc w:val="right"/>
              <w:bidi w:val="1"/>
            </w:pPr>
            <w:r>
              <w:rPr>
                <w:sz w:val="16"/>
                <w:rtl w:val="1"/>
              </w:rPr>
              <w:t>الشهر 4</w:t>
            </w:r>
          </w:p>
        </w:tc>
        <w:tc>
          <w:tcPr>
            <w:tcW w:type="dxa" w:w="1872"/>
          </w:tcPr>
          <w:p>
            <w:pPr>
              <w:jc w:val="right"/>
              <w:bidi w:val="1"/>
            </w:pPr>
            <w:r>
              <w:rPr>
                <w:sz w:val="16"/>
                <w:rtl w:val="1"/>
              </w:rPr>
              <w:t>سجل مخاطر أمني موثق وتقرير دوري معتمد</w:t>
            </w:r>
          </w:p>
        </w:tc>
      </w:tr>
      <w:tr>
        <w:tc>
          <w:tcPr>
            <w:tcW w:type="dxa" w:w="1872"/>
          </w:tcPr>
          <w:p>
            <w:pPr>
              <w:jc w:val="right"/>
              <w:bidi w:val="1"/>
            </w:pPr>
            <w:r>
              <w:rPr>
                <w:sz w:val="16"/>
                <w:rtl w:val="1"/>
              </w:rPr>
              <w:t>5</w:t>
            </w:r>
          </w:p>
        </w:tc>
        <w:tc>
          <w:tcPr>
            <w:tcW w:type="dxa" w:w="1872"/>
          </w:tcPr>
          <w:p>
            <w:pPr>
              <w:jc w:val="right"/>
              <w:bidi w:val="1"/>
            </w:pPr>
            <w:r>
              <w:rPr>
                <w:sz w:val="16"/>
                <w:rtl w:val="1"/>
              </w:rPr>
              <w:t>إجراء تقييم امتثال NCA ECC الأولي وتحديد مستوى النضج الراهن وخارطة طريق الارتقاء</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5</w:t>
            </w:r>
          </w:p>
        </w:tc>
        <w:tc>
          <w:tcPr>
            <w:tcW w:type="dxa" w:w="1872"/>
          </w:tcPr>
          <w:p>
            <w:pPr>
              <w:jc w:val="right"/>
              <w:bidi w:val="1"/>
            </w:pPr>
            <w:r>
              <w:rPr>
                <w:sz w:val="16"/>
                <w:rtl w:val="1"/>
              </w:rPr>
              <w:t>تقرير تقييم الامتثال وخارطة طريق الارتقاء</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تحديد نموذج تشغيل SOC ال مناسب (داخلي أو مُدار MSSP) ورفع دراسة الجدوى للإدارة العليا مع متطلبات NCA ECC-1-1</w:t>
            </w:r>
          </w:p>
        </w:tc>
        <w:tc>
          <w:tcPr>
            <w:tcW w:type="dxa" w:w="1872"/>
          </w:tcPr>
          <w:p>
            <w:pPr>
              <w:jc w:val="right"/>
              <w:bidi w:val="1"/>
            </w:pPr>
            <w:r>
              <w:rPr>
                <w:sz w:val="16"/>
                <w:rtl w:val="1"/>
              </w:rPr>
              <w:t>CISO</w:t>
            </w:r>
          </w:p>
        </w:tc>
        <w:tc>
          <w:tcPr>
            <w:tcW w:type="dxa" w:w="1872"/>
          </w:tcPr>
          <w:p>
            <w:pPr>
              <w:jc w:val="right"/>
              <w:bidi w:val="1"/>
            </w:pPr>
            <w:r>
              <w:rPr>
                <w:sz w:val="16"/>
                <w:rtl w:val="1"/>
              </w:rPr>
              <w:t>الشهر 1</w:t>
            </w:r>
          </w:p>
        </w:tc>
        <w:tc>
          <w:tcPr>
            <w:tcW w:type="dxa" w:w="1872"/>
          </w:tcPr>
          <w:p>
            <w:pPr>
              <w:jc w:val="right"/>
              <w:bidi w:val="1"/>
            </w:pPr>
            <w:r>
              <w:rPr>
                <w:sz w:val="16"/>
                <w:rtl w:val="1"/>
              </w:rPr>
              <w:t>قرار نموذج تشغيل SOC معتمد</w:t>
            </w:r>
          </w:p>
        </w:tc>
      </w:tr>
      <w:tr>
        <w:tc>
          <w:tcPr>
            <w:tcW w:type="dxa" w:w="1872"/>
          </w:tcPr>
          <w:p>
            <w:pPr>
              <w:jc w:val="right"/>
              <w:bidi w:val="1"/>
            </w:pPr>
            <w:r>
              <w:rPr>
                <w:sz w:val="16"/>
                <w:rtl w:val="1"/>
              </w:rPr>
              <w:t>2</w:t>
            </w:r>
          </w:p>
        </w:tc>
        <w:tc>
          <w:tcPr>
            <w:tcW w:type="dxa" w:w="1872"/>
          </w:tcPr>
          <w:p>
            <w:pPr>
              <w:jc w:val="right"/>
              <w:bidi w:val="1"/>
            </w:pPr>
            <w:r>
              <w:rPr>
                <w:sz w:val="16"/>
                <w:rtl w:val="1"/>
              </w:rPr>
              <w:t>تحديد متطلبات منصة SIEM وتقييم الموردين وإعداد وثيقة المواصفات الفنية</w:t>
            </w:r>
          </w:p>
        </w:tc>
        <w:tc>
          <w:tcPr>
            <w:tcW w:type="dxa" w:w="1872"/>
          </w:tcPr>
          <w:p>
            <w:pPr>
              <w:jc w:val="right"/>
              <w:bidi w:val="1"/>
            </w:pPr>
            <w:r>
              <w:rPr>
                <w:sz w:val="16"/>
                <w:rtl w:val="1"/>
              </w:rPr>
              <w:t>SOC Manager</w:t>
            </w:r>
          </w:p>
        </w:tc>
        <w:tc>
          <w:tcPr>
            <w:tcW w:type="dxa" w:w="1872"/>
          </w:tcPr>
          <w:p>
            <w:pPr>
              <w:jc w:val="right"/>
              <w:bidi w:val="1"/>
            </w:pPr>
            <w:r>
              <w:rPr>
                <w:sz w:val="16"/>
                <w:rtl w:val="1"/>
              </w:rPr>
              <w:t>الشهر 2</w:t>
            </w:r>
          </w:p>
        </w:tc>
        <w:tc>
          <w:tcPr>
            <w:tcW w:type="dxa" w:w="1872"/>
          </w:tcPr>
          <w:p>
            <w:pPr>
              <w:jc w:val="right"/>
              <w:bidi w:val="1"/>
            </w:pPr>
            <w:r>
              <w:rPr>
                <w:sz w:val="16"/>
                <w:rtl w:val="1"/>
              </w:rPr>
              <w:t>وثيقة متطلبات SIEM معتمدة</w:t>
            </w:r>
          </w:p>
        </w:tc>
      </w:tr>
      <w:tr>
        <w:tc>
          <w:tcPr>
            <w:tcW w:type="dxa" w:w="1872"/>
          </w:tcPr>
          <w:p>
            <w:pPr>
              <w:jc w:val="right"/>
              <w:bidi w:val="1"/>
            </w:pPr>
            <w:r>
              <w:rPr>
                <w:sz w:val="16"/>
                <w:rtl w:val="1"/>
              </w:rPr>
              <w:t>3</w:t>
            </w:r>
          </w:p>
        </w:tc>
        <w:tc>
          <w:tcPr>
            <w:tcW w:type="dxa" w:w="1872"/>
          </w:tcPr>
          <w:p>
            <w:pPr>
              <w:jc w:val="right"/>
              <w:bidi w:val="1"/>
            </w:pPr>
            <w:r>
              <w:rPr>
                <w:sz w:val="16"/>
                <w:rtl w:val="1"/>
              </w:rPr>
              <w:t>تنفيذ نشر منصة SIEM وربط المصادر اللوجستية الأساسية (جدران الحماية، الخوادم، نقاط النهاية)</w:t>
            </w:r>
          </w:p>
        </w:tc>
        <w:tc>
          <w:tcPr>
            <w:tcW w:type="dxa" w:w="1872"/>
          </w:tcPr>
          <w:p>
            <w:pPr>
              <w:jc w:val="right"/>
              <w:bidi w:val="1"/>
            </w:pPr>
            <w:r>
              <w:rPr>
                <w:sz w:val="16"/>
                <w:rtl w:val="1"/>
              </w:rPr>
              <w:t>SOC Manager</w:t>
            </w:r>
          </w:p>
        </w:tc>
        <w:tc>
          <w:tcPr>
            <w:tcW w:type="dxa" w:w="1872"/>
          </w:tcPr>
          <w:p>
            <w:pPr>
              <w:jc w:val="right"/>
              <w:bidi w:val="1"/>
            </w:pPr>
            <w:r>
              <w:rPr>
                <w:sz w:val="16"/>
                <w:rtl w:val="1"/>
              </w:rPr>
              <w:t>الشهر 3–4</w:t>
            </w:r>
          </w:p>
        </w:tc>
        <w:tc>
          <w:tcPr>
            <w:tcW w:type="dxa" w:w="1872"/>
          </w:tcPr>
          <w:p>
            <w:pPr>
              <w:jc w:val="right"/>
              <w:bidi w:val="1"/>
            </w:pPr>
            <w:r>
              <w:rPr>
                <w:sz w:val="16"/>
                <w:rtl w:val="1"/>
              </w:rPr>
              <w:t>SIEM نشط مع تغطية مصادر أساسية موثقة</w:t>
            </w:r>
          </w:p>
        </w:tc>
      </w:tr>
      <w:tr>
        <w:tc>
          <w:tcPr>
            <w:tcW w:type="dxa" w:w="1872"/>
          </w:tcPr>
          <w:p>
            <w:pPr>
              <w:jc w:val="right"/>
              <w:bidi w:val="1"/>
            </w:pPr>
            <w:r>
              <w:rPr>
                <w:sz w:val="16"/>
                <w:rtl w:val="1"/>
              </w:rPr>
              <w:t>4</w:t>
            </w:r>
          </w:p>
        </w:tc>
        <w:tc>
          <w:tcPr>
            <w:tcW w:type="dxa" w:w="1872"/>
          </w:tcPr>
          <w:p>
            <w:pPr>
              <w:jc w:val="right"/>
              <w:bidi w:val="1"/>
            </w:pPr>
            <w:r>
              <w:rPr>
                <w:sz w:val="16"/>
                <w:rtl w:val="1"/>
              </w:rPr>
              <w:t>تطوير قواعد الكشف وسيناريوهات الاستجابة (Use Cases) ذات الأولوية بناءً على استخبارات التهديدات الحكومية</w:t>
            </w:r>
          </w:p>
        </w:tc>
        <w:tc>
          <w:tcPr>
            <w:tcW w:type="dxa" w:w="1872"/>
          </w:tcPr>
          <w:p>
            <w:pPr>
              <w:jc w:val="right"/>
              <w:bidi w:val="1"/>
            </w:pPr>
            <w:r>
              <w:rPr>
                <w:sz w:val="16"/>
                <w:rtl w:val="1"/>
              </w:rPr>
              <w:t>SOC Manager</w:t>
            </w:r>
          </w:p>
        </w:tc>
        <w:tc>
          <w:tcPr>
            <w:tcW w:type="dxa" w:w="1872"/>
          </w:tcPr>
          <w:p>
            <w:pPr>
              <w:jc w:val="right"/>
              <w:bidi w:val="1"/>
            </w:pPr>
            <w:r>
              <w:rPr>
                <w:sz w:val="16"/>
                <w:rtl w:val="1"/>
              </w:rPr>
              <w:t>الشهر 5</w:t>
            </w:r>
          </w:p>
        </w:tc>
        <w:tc>
          <w:tcPr>
            <w:tcW w:type="dxa" w:w="1872"/>
          </w:tcPr>
          <w:p>
            <w:pPr>
              <w:jc w:val="right"/>
              <w:bidi w:val="1"/>
            </w:pPr>
            <w:r>
              <w:rPr>
                <w:sz w:val="16"/>
                <w:rtl w:val="1"/>
              </w:rPr>
              <w:t>مكتبة Use Cases مفعّلة ومختبرة</w:t>
            </w:r>
          </w:p>
        </w:tc>
      </w:tr>
      <w:tr>
        <w:tc>
          <w:tcPr>
            <w:tcW w:type="dxa" w:w="1872"/>
          </w:tcPr>
          <w:p>
            <w:pPr>
              <w:jc w:val="right"/>
              <w:bidi w:val="1"/>
            </w:pPr>
            <w:r>
              <w:rPr>
                <w:sz w:val="16"/>
                <w:rtl w:val="1"/>
              </w:rPr>
              <w:t>5</w:t>
            </w:r>
          </w:p>
        </w:tc>
        <w:tc>
          <w:tcPr>
            <w:tcW w:type="dxa" w:w="1872"/>
          </w:tcPr>
          <w:p>
            <w:pPr>
              <w:jc w:val="right"/>
              <w:bidi w:val="1"/>
            </w:pPr>
            <w:r>
              <w:rPr>
                <w:sz w:val="16"/>
                <w:rtl w:val="1"/>
              </w:rPr>
              <w:t>تفعيل عمليات SOC على مدار الساعة وتحديد مؤشرات الأداء الرئيسية ومراجعتها شهرياً</w:t>
            </w:r>
          </w:p>
        </w:tc>
        <w:tc>
          <w:tcPr>
            <w:tcW w:type="dxa" w:w="1872"/>
          </w:tcPr>
          <w:p>
            <w:pPr>
              <w:jc w:val="right"/>
              <w:bidi w:val="1"/>
            </w:pPr>
            <w:r>
              <w:rPr>
                <w:sz w:val="16"/>
                <w:rtl w:val="1"/>
              </w:rPr>
              <w:t>SOC Manager</w:t>
            </w:r>
          </w:p>
        </w:tc>
        <w:tc>
          <w:tcPr>
            <w:tcW w:type="dxa" w:w="1872"/>
          </w:tcPr>
          <w:p>
            <w:pPr>
              <w:jc w:val="right"/>
              <w:bidi w:val="1"/>
            </w:pPr>
            <w:r>
              <w:rPr>
                <w:sz w:val="16"/>
                <w:rtl w:val="1"/>
              </w:rPr>
              <w:t>الشهر 6</w:t>
            </w:r>
          </w:p>
        </w:tc>
        <w:tc>
          <w:tcPr>
            <w:tcW w:type="dxa" w:w="1872"/>
          </w:tcPr>
          <w:p>
            <w:pPr>
              <w:jc w:val="right"/>
              <w:bidi w:val="1"/>
            </w:pPr>
            <w:r>
              <w:rPr>
                <w:sz w:val="16"/>
                <w:rtl w:val="1"/>
              </w:rPr>
              <w:t>تقرير أداء SOC الشهري الأول</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إجراء مراجعة شاملة للحسابات المتميزة والمستخدمين الحاليين وتصنيف مستويات الوصول وفق مبدأ أدنى صلاحية</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1</w:t>
            </w:r>
          </w:p>
        </w:tc>
        <w:tc>
          <w:tcPr>
            <w:tcW w:type="dxa" w:w="1872"/>
          </w:tcPr>
          <w:p>
            <w:pPr>
              <w:jc w:val="right"/>
              <w:bidi w:val="1"/>
            </w:pPr>
            <w:r>
              <w:rPr>
                <w:sz w:val="16"/>
                <w:rtl w:val="1"/>
              </w:rPr>
              <w:t>سجل حسابات معتمد مع تصنيف الصلاحيات</w:t>
            </w:r>
          </w:p>
        </w:tc>
      </w:tr>
      <w:tr>
        <w:tc>
          <w:tcPr>
            <w:tcW w:type="dxa" w:w="1872"/>
          </w:tcPr>
          <w:p>
            <w:pPr>
              <w:jc w:val="right"/>
              <w:bidi w:val="1"/>
            </w:pPr>
            <w:r>
              <w:rPr>
                <w:sz w:val="16"/>
                <w:rtl w:val="1"/>
              </w:rPr>
              <w:t>2</w:t>
            </w:r>
          </w:p>
        </w:tc>
        <w:tc>
          <w:tcPr>
            <w:tcW w:type="dxa" w:w="1872"/>
          </w:tcPr>
          <w:p>
            <w:pPr>
              <w:jc w:val="right"/>
              <w:bidi w:val="1"/>
            </w:pPr>
            <w:r>
              <w:rPr>
                <w:sz w:val="16"/>
                <w:rtl w:val="1"/>
              </w:rPr>
              <w:t>نشر حل إدارة الوصول المتميز PAM وتطبيق تدوير كلمات المرور الآلي على الحسابات الحرجة</w:t>
            </w:r>
          </w:p>
        </w:tc>
        <w:tc>
          <w:tcPr>
            <w:tcW w:type="dxa" w:w="1872"/>
          </w:tcPr>
          <w:p>
            <w:pPr>
              <w:jc w:val="right"/>
              <w:bidi w:val="1"/>
            </w:pPr>
            <w:r>
              <w:rPr>
                <w:sz w:val="16"/>
                <w:rtl w:val="1"/>
              </w:rPr>
              <w:t>CISO</w:t>
            </w:r>
          </w:p>
        </w:tc>
        <w:tc>
          <w:tcPr>
            <w:tcW w:type="dxa" w:w="1872"/>
          </w:tcPr>
          <w:p>
            <w:pPr>
              <w:jc w:val="right"/>
              <w:bidi w:val="1"/>
            </w:pPr>
            <w:r>
              <w:rPr>
                <w:sz w:val="16"/>
                <w:rtl w:val="1"/>
              </w:rPr>
              <w:t>الشهر 2–3</w:t>
            </w:r>
          </w:p>
        </w:tc>
        <w:tc>
          <w:tcPr>
            <w:tcW w:type="dxa" w:w="1872"/>
          </w:tcPr>
          <w:p>
            <w:pPr>
              <w:jc w:val="right"/>
              <w:bidi w:val="1"/>
            </w:pPr>
            <w:r>
              <w:rPr>
                <w:sz w:val="16"/>
                <w:rtl w:val="1"/>
              </w:rPr>
              <w:t>حل PAM مفعّل على الحسابات الحرجة</w:t>
            </w:r>
          </w:p>
        </w:tc>
      </w:tr>
      <w:tr>
        <w:tc>
          <w:tcPr>
            <w:tcW w:type="dxa" w:w="1872"/>
          </w:tcPr>
          <w:p>
            <w:pPr>
              <w:jc w:val="right"/>
              <w:bidi w:val="1"/>
            </w:pPr>
            <w:r>
              <w:rPr>
                <w:sz w:val="16"/>
                <w:rtl w:val="1"/>
              </w:rPr>
              <w:t>3</w:t>
            </w:r>
          </w:p>
        </w:tc>
        <w:tc>
          <w:tcPr>
            <w:tcW w:type="dxa" w:w="1872"/>
          </w:tcPr>
          <w:p>
            <w:pPr>
              <w:jc w:val="right"/>
              <w:bidi w:val="1"/>
            </w:pPr>
            <w:r>
              <w:rPr>
                <w:sz w:val="16"/>
                <w:rtl w:val="1"/>
              </w:rPr>
              <w:t>تطبيق المصادقة متعددة العوامل MFA على جميع الحسابات الإدارية وبوابات الوصول عن بُعد وفق NCA DCC</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3</w:t>
            </w:r>
          </w:p>
        </w:tc>
        <w:tc>
          <w:tcPr>
            <w:tcW w:type="dxa" w:w="1872"/>
          </w:tcPr>
          <w:p>
            <w:pPr>
              <w:jc w:val="right"/>
              <w:bidi w:val="1"/>
            </w:pPr>
            <w:r>
              <w:rPr>
                <w:sz w:val="16"/>
                <w:rtl w:val="1"/>
              </w:rPr>
              <w:t>MFA مفعّل على 100% من الحسابات الإدارية</w:t>
            </w:r>
          </w:p>
        </w:tc>
      </w:tr>
      <w:tr>
        <w:tc>
          <w:tcPr>
            <w:tcW w:type="dxa" w:w="1872"/>
          </w:tcPr>
          <w:p>
            <w:pPr>
              <w:jc w:val="right"/>
              <w:bidi w:val="1"/>
            </w:pPr>
            <w:r>
              <w:rPr>
                <w:sz w:val="16"/>
                <w:rtl w:val="1"/>
              </w:rPr>
              <w:t>4</w:t>
            </w:r>
          </w:p>
        </w:tc>
        <w:tc>
          <w:tcPr>
            <w:tcW w:type="dxa" w:w="1872"/>
          </w:tcPr>
          <w:p>
            <w:pPr>
              <w:jc w:val="right"/>
              <w:bidi w:val="1"/>
            </w:pPr>
            <w:r>
              <w:rPr>
                <w:sz w:val="16"/>
                <w:rtl w:val="1"/>
              </w:rPr>
              <w:t>تنفيذ دورة مراجعة دورية ربع سنوية لصلاحيات الوصول وإلغاء الحسابات غير النشطة</w:t>
            </w:r>
          </w:p>
        </w:tc>
        <w:tc>
          <w:tcPr>
            <w:tcW w:type="dxa" w:w="1872"/>
          </w:tcPr>
          <w:p>
            <w:pPr>
              <w:jc w:val="right"/>
              <w:bidi w:val="1"/>
            </w:pPr>
            <w:r>
              <w:rPr>
                <w:sz w:val="16"/>
                <w:rtl w:val="1"/>
              </w:rPr>
              <w:t>SOC Manager</w:t>
            </w:r>
          </w:p>
        </w:tc>
        <w:tc>
          <w:tcPr>
            <w:tcW w:type="dxa" w:w="1872"/>
          </w:tcPr>
          <w:p>
            <w:pPr>
              <w:jc w:val="right"/>
              <w:bidi w:val="1"/>
            </w:pPr>
            <w:r>
              <w:rPr>
                <w:sz w:val="16"/>
                <w:rtl w:val="1"/>
              </w:rPr>
              <w:t>الشهر 4</w:t>
            </w:r>
          </w:p>
        </w:tc>
        <w:tc>
          <w:tcPr>
            <w:tcW w:type="dxa" w:w="1872"/>
          </w:tcPr>
          <w:p>
            <w:pPr>
              <w:jc w:val="right"/>
              <w:bidi w:val="1"/>
            </w:pPr>
            <w:r>
              <w:rPr>
                <w:sz w:val="16"/>
                <w:rtl w:val="1"/>
              </w:rPr>
              <w:t>تقرير مراجعة الصلاحيات الربع سنوي</w:t>
            </w:r>
          </w:p>
        </w:tc>
      </w:tr>
      <w:tr>
        <w:tc>
          <w:tcPr>
            <w:tcW w:type="dxa" w:w="1872"/>
          </w:tcPr>
          <w:p>
            <w:pPr>
              <w:jc w:val="right"/>
              <w:bidi w:val="1"/>
            </w:pPr>
            <w:r>
              <w:rPr>
                <w:sz w:val="16"/>
                <w:rtl w:val="1"/>
              </w:rPr>
              <w:t>5</w:t>
            </w:r>
          </w:p>
        </w:tc>
        <w:tc>
          <w:tcPr>
            <w:tcW w:type="dxa" w:w="1872"/>
          </w:tcPr>
          <w:p>
            <w:pPr>
              <w:jc w:val="right"/>
              <w:bidi w:val="1"/>
            </w:pPr>
            <w:r>
              <w:rPr>
                <w:sz w:val="16"/>
                <w:rtl w:val="1"/>
              </w:rPr>
              <w:t>دمج حل IAM مع منصة SIEM لرصد التحكم في الوصول والتنبيه على الأنماط الشاذة</w:t>
            </w:r>
          </w:p>
        </w:tc>
        <w:tc>
          <w:tcPr>
            <w:tcW w:type="dxa" w:w="1872"/>
          </w:tcPr>
          <w:p>
            <w:pPr>
              <w:jc w:val="right"/>
              <w:bidi w:val="1"/>
            </w:pPr>
            <w:r>
              <w:rPr>
                <w:sz w:val="16"/>
                <w:rtl w:val="1"/>
              </w:rPr>
              <w:t>SOC Manager</w:t>
            </w:r>
          </w:p>
        </w:tc>
        <w:tc>
          <w:tcPr>
            <w:tcW w:type="dxa" w:w="1872"/>
          </w:tcPr>
          <w:p>
            <w:pPr>
              <w:jc w:val="right"/>
              <w:bidi w:val="1"/>
            </w:pPr>
            <w:r>
              <w:rPr>
                <w:sz w:val="16"/>
                <w:rtl w:val="1"/>
              </w:rPr>
              <w:t>الشهر 5</w:t>
            </w:r>
          </w:p>
        </w:tc>
        <w:tc>
          <w:tcPr>
            <w:tcW w:type="dxa" w:w="1872"/>
          </w:tcPr>
          <w:p>
            <w:pPr>
              <w:jc w:val="right"/>
              <w:bidi w:val="1"/>
            </w:pPr>
            <w:r>
              <w:rPr>
                <w:sz w:val="16"/>
                <w:rtl w:val="1"/>
              </w:rPr>
              <w:t>تكامل IAM-SIEM موثق مع قواعد كشف فعّالة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تشكيل فريق CSIRT وتحديد أدوار الأعضاء ومسؤولياتهم وقنوات التصعيد وفق NCA ECC</w:t>
            </w:r>
          </w:p>
        </w:tc>
        <w:tc>
          <w:tcPr>
            <w:tcW w:type="dxa" w:w="1872"/>
          </w:tcPr>
          <w:p>
            <w:pPr>
              <w:jc w:val="right"/>
              <w:bidi w:val="1"/>
            </w:pPr>
            <w:r>
              <w:rPr>
                <w:sz w:val="16"/>
                <w:rtl w:val="1"/>
              </w:rPr>
              <w:t>CISO</w:t>
            </w:r>
          </w:p>
        </w:tc>
        <w:tc>
          <w:tcPr>
            <w:tcW w:type="dxa" w:w="1872"/>
          </w:tcPr>
          <w:p>
            <w:pPr>
              <w:jc w:val="right"/>
              <w:bidi w:val="1"/>
            </w:pPr>
            <w:r>
              <w:rPr>
                <w:sz w:val="16"/>
                <w:rtl w:val="1"/>
              </w:rPr>
              <w:t>الشهر 1</w:t>
            </w:r>
          </w:p>
        </w:tc>
        <w:tc>
          <w:tcPr>
            <w:tcW w:type="dxa" w:w="1872"/>
          </w:tcPr>
          <w:p>
            <w:pPr>
              <w:jc w:val="right"/>
              <w:bidi w:val="1"/>
            </w:pPr>
            <w:r>
              <w:rPr>
                <w:sz w:val="16"/>
                <w:rtl w:val="1"/>
              </w:rPr>
              <w:t>ميثاق CSIRT وهيكل الأدوار معتمد</w:t>
            </w:r>
          </w:p>
        </w:tc>
      </w:tr>
      <w:tr>
        <w:tc>
          <w:tcPr>
            <w:tcW w:type="dxa" w:w="1872"/>
          </w:tcPr>
          <w:p>
            <w:pPr>
              <w:jc w:val="right"/>
              <w:bidi w:val="1"/>
            </w:pPr>
            <w:r>
              <w:rPr>
                <w:sz w:val="16"/>
                <w:rtl w:val="1"/>
              </w:rPr>
              <w:t>2</w:t>
            </w:r>
          </w:p>
        </w:tc>
        <w:tc>
          <w:tcPr>
            <w:tcW w:type="dxa" w:w="1872"/>
          </w:tcPr>
          <w:p>
            <w:pPr>
              <w:jc w:val="right"/>
              <w:bidi w:val="1"/>
            </w:pPr>
            <w:r>
              <w:rPr>
                <w:sz w:val="16"/>
                <w:rtl w:val="1"/>
              </w:rPr>
              <w:t>تطوير خطة الاستجابة للحوادث الرسمية وتضمينها تصنيف الحوادث وإجراءات الاحتواء والاستئصال والتعافي</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2</w:t>
            </w:r>
          </w:p>
        </w:tc>
        <w:tc>
          <w:tcPr>
            <w:tcW w:type="dxa" w:w="1872"/>
          </w:tcPr>
          <w:p>
            <w:pPr>
              <w:jc w:val="right"/>
              <w:bidi w:val="1"/>
            </w:pPr>
            <w:r>
              <w:rPr>
                <w:sz w:val="16"/>
                <w:rtl w:val="1"/>
              </w:rPr>
              <w:t>خطة الاستجابة للحوادث معتمدة</w:t>
            </w:r>
          </w:p>
        </w:tc>
      </w:tr>
      <w:tr>
        <w:tc>
          <w:tcPr>
            <w:tcW w:type="dxa" w:w="1872"/>
          </w:tcPr>
          <w:p>
            <w:pPr>
              <w:jc w:val="right"/>
              <w:bidi w:val="1"/>
            </w:pPr>
            <w:r>
              <w:rPr>
                <w:sz w:val="16"/>
                <w:rtl w:val="1"/>
              </w:rPr>
              <w:t>3</w:t>
            </w:r>
          </w:p>
        </w:tc>
        <w:tc>
          <w:tcPr>
            <w:tcW w:type="dxa" w:w="1872"/>
          </w:tcPr>
          <w:p>
            <w:pPr>
              <w:jc w:val="right"/>
              <w:bidi w:val="1"/>
            </w:pPr>
            <w:r>
              <w:rPr>
                <w:sz w:val="16"/>
                <w:rtl w:val="1"/>
              </w:rPr>
              <w:t>إعداد كتب التشغيل (Playbooks) لأبرز سيناريوهات التهديد (برمجيات الفدية، التصيد الاحتيالي، اختراق البيانات)</w:t>
            </w:r>
          </w:p>
        </w:tc>
        <w:tc>
          <w:tcPr>
            <w:tcW w:type="dxa" w:w="1872"/>
          </w:tcPr>
          <w:p>
            <w:pPr>
              <w:jc w:val="right"/>
              <w:bidi w:val="1"/>
            </w:pPr>
            <w:r>
              <w:rPr>
                <w:sz w:val="16"/>
                <w:rtl w:val="1"/>
              </w:rPr>
              <w:t>SOC Manager</w:t>
            </w:r>
          </w:p>
        </w:tc>
        <w:tc>
          <w:tcPr>
            <w:tcW w:type="dxa" w:w="1872"/>
          </w:tcPr>
          <w:p>
            <w:pPr>
              <w:jc w:val="right"/>
              <w:bidi w:val="1"/>
            </w:pPr>
            <w:r>
              <w:rPr>
                <w:sz w:val="16"/>
                <w:rtl w:val="1"/>
              </w:rPr>
              <w:t>الشهر 3</w:t>
            </w:r>
          </w:p>
        </w:tc>
        <w:tc>
          <w:tcPr>
            <w:tcW w:type="dxa" w:w="1872"/>
          </w:tcPr>
          <w:p>
            <w:pPr>
              <w:jc w:val="right"/>
              <w:bidi w:val="1"/>
            </w:pPr>
            <w:r>
              <w:rPr>
                <w:sz w:val="16"/>
                <w:rtl w:val="1"/>
              </w:rPr>
              <w:t>مكتبة Playbooks موثقة وجاهزة للتفعيل</w:t>
            </w:r>
          </w:p>
        </w:tc>
      </w:tr>
      <w:tr>
        <w:tc>
          <w:tcPr>
            <w:tcW w:type="dxa" w:w="1872"/>
          </w:tcPr>
          <w:p>
            <w:pPr>
              <w:jc w:val="right"/>
              <w:bidi w:val="1"/>
            </w:pPr>
            <w:r>
              <w:rPr>
                <w:sz w:val="16"/>
                <w:rtl w:val="1"/>
              </w:rPr>
              <w:t>4</w:t>
            </w:r>
          </w:p>
        </w:tc>
        <w:tc>
          <w:tcPr>
            <w:tcW w:type="dxa" w:w="1872"/>
          </w:tcPr>
          <w:p>
            <w:pPr>
              <w:jc w:val="right"/>
              <w:bidi w:val="1"/>
            </w:pPr>
            <w:r>
              <w:rPr>
                <w:sz w:val="16"/>
                <w:rtl w:val="1"/>
              </w:rPr>
              <w:t>تنفيذ تمرين محاكاة حوادث (Tabletop Exercise) يشمل الإدارة العليا وتقييم فجوات الخطة بعده</w:t>
            </w:r>
          </w:p>
        </w:tc>
        <w:tc>
          <w:tcPr>
            <w:tcW w:type="dxa" w:w="1872"/>
          </w:tcPr>
          <w:p>
            <w:pPr>
              <w:jc w:val="right"/>
              <w:bidi w:val="1"/>
            </w:pPr>
            <w:r>
              <w:rPr>
                <w:sz w:val="16"/>
                <w:rtl w:val="1"/>
              </w:rPr>
              <w:t>CISO</w:t>
            </w:r>
          </w:p>
        </w:tc>
        <w:tc>
          <w:tcPr>
            <w:tcW w:type="dxa" w:w="1872"/>
          </w:tcPr>
          <w:p>
            <w:pPr>
              <w:jc w:val="right"/>
              <w:bidi w:val="1"/>
            </w:pPr>
            <w:r>
              <w:rPr>
                <w:sz w:val="16"/>
                <w:rtl w:val="1"/>
              </w:rPr>
              <w:t>الشهر 4</w:t>
            </w:r>
          </w:p>
        </w:tc>
        <w:tc>
          <w:tcPr>
            <w:tcW w:type="dxa" w:w="1872"/>
          </w:tcPr>
          <w:p>
            <w:pPr>
              <w:jc w:val="right"/>
              <w:bidi w:val="1"/>
            </w:pPr>
            <w:r>
              <w:rPr>
                <w:sz w:val="16"/>
                <w:rtl w:val="1"/>
              </w:rPr>
              <w:t>تقرير تمرين المحاكاة وتوصيات التحسين</w:t>
            </w:r>
          </w:p>
        </w:tc>
      </w:tr>
      <w:tr>
        <w:tc>
          <w:tcPr>
            <w:tcW w:type="dxa" w:w="1872"/>
          </w:tcPr>
          <w:p>
            <w:pPr>
              <w:jc w:val="right"/>
              <w:bidi w:val="1"/>
            </w:pPr>
            <w:r>
              <w:rPr>
                <w:sz w:val="16"/>
                <w:rtl w:val="1"/>
              </w:rPr>
              <w:t>5</w:t>
            </w:r>
          </w:p>
        </w:tc>
        <w:tc>
          <w:tcPr>
            <w:tcW w:type="dxa" w:w="1872"/>
          </w:tcPr>
          <w:p>
            <w:pPr>
              <w:jc w:val="right"/>
              <w:bidi w:val="1"/>
            </w:pPr>
            <w:r>
              <w:rPr>
                <w:sz w:val="16"/>
                <w:rtl w:val="1"/>
              </w:rPr>
              <w:t>تفعيل قناة الإبلاغ عن الحوادث وربطها بمنظومة NCA CERT وتوثيق إجراءات الإبلاغ الخارجي</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5</w:t>
            </w:r>
          </w:p>
        </w:tc>
        <w:tc>
          <w:tcPr>
            <w:tcW w:type="dxa" w:w="1872"/>
          </w:tcPr>
          <w:p>
            <w:pPr>
              <w:jc w:val="right"/>
              <w:bidi w:val="1"/>
            </w:pPr>
            <w:r>
              <w:rPr>
                <w:sz w:val="16"/>
                <w:rtl w:val="1"/>
              </w:rPr>
              <w:t>قناة إبلاغ مفعّلة وإجراءات NCA CERT موثقة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تنفيذ مسح شامل للثغرات الأمنية على جميع الأصول التقنية وتصنيف النتائج وفق درجة الخطورة</w:t>
            </w:r>
          </w:p>
        </w:tc>
        <w:tc>
          <w:tcPr>
            <w:tcW w:type="dxa" w:w="1872"/>
          </w:tcPr>
          <w:p>
            <w:pPr>
              <w:jc w:val="right"/>
              <w:bidi w:val="1"/>
            </w:pPr>
            <w:r>
              <w:rPr>
                <w:sz w:val="16"/>
                <w:rtl w:val="1"/>
              </w:rPr>
              <w:t>SOC Manager</w:t>
            </w:r>
          </w:p>
        </w:tc>
        <w:tc>
          <w:tcPr>
            <w:tcW w:type="dxa" w:w="1872"/>
          </w:tcPr>
          <w:p>
            <w:pPr>
              <w:jc w:val="right"/>
              <w:bidi w:val="1"/>
            </w:pPr>
            <w:r>
              <w:rPr>
                <w:sz w:val="16"/>
                <w:rtl w:val="1"/>
              </w:rPr>
              <w:t>الشهر 1</w:t>
            </w:r>
          </w:p>
        </w:tc>
        <w:tc>
          <w:tcPr>
            <w:tcW w:type="dxa" w:w="1872"/>
          </w:tcPr>
          <w:p>
            <w:pPr>
              <w:jc w:val="right"/>
              <w:bidi w:val="1"/>
            </w:pPr>
            <w:r>
              <w:rPr>
                <w:sz w:val="16"/>
                <w:rtl w:val="1"/>
              </w:rPr>
              <w:t>تقرير مسح الثغرات الأمنية الأولي</w:t>
            </w:r>
          </w:p>
        </w:tc>
      </w:tr>
      <w:tr>
        <w:tc>
          <w:tcPr>
            <w:tcW w:type="dxa" w:w="1872"/>
          </w:tcPr>
          <w:p>
            <w:pPr>
              <w:jc w:val="right"/>
              <w:bidi w:val="1"/>
            </w:pPr>
            <w:r>
              <w:rPr>
                <w:sz w:val="16"/>
                <w:rtl w:val="1"/>
              </w:rPr>
              <w:t>2</w:t>
            </w:r>
          </w:p>
        </w:tc>
        <w:tc>
          <w:tcPr>
            <w:tcW w:type="dxa" w:w="1872"/>
          </w:tcPr>
          <w:p>
            <w:pPr>
              <w:jc w:val="right"/>
              <w:bidi w:val="1"/>
            </w:pPr>
            <w:r>
              <w:rPr>
                <w:sz w:val="16"/>
                <w:rtl w:val="1"/>
              </w:rPr>
              <w:t>بناء برنامج إدارة الثغرات الدوري مع تحديد جداول زمنية للمعالجة وفق أولوية الخطورة وتكامله مع NCA ECC-2-3</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2</w:t>
            </w:r>
          </w:p>
        </w:tc>
        <w:tc>
          <w:tcPr>
            <w:tcW w:type="dxa" w:w="1872"/>
          </w:tcPr>
          <w:p>
            <w:pPr>
              <w:jc w:val="right"/>
              <w:bidi w:val="1"/>
            </w:pPr>
            <w:r>
              <w:rPr>
                <w:sz w:val="16"/>
                <w:rtl w:val="1"/>
              </w:rPr>
              <w:t>برنامج إدارة الثغرات معتمد وجدول معالجة موثق</w:t>
            </w:r>
          </w:p>
        </w:tc>
      </w:tr>
      <w:tr>
        <w:tc>
          <w:tcPr>
            <w:tcW w:type="dxa" w:w="1872"/>
          </w:tcPr>
          <w:p>
            <w:pPr>
              <w:jc w:val="right"/>
              <w:bidi w:val="1"/>
            </w:pPr>
            <w:r>
              <w:rPr>
                <w:sz w:val="16"/>
                <w:rtl w:val="1"/>
              </w:rPr>
              <w:t>3</w:t>
            </w:r>
          </w:p>
        </w:tc>
        <w:tc>
          <w:tcPr>
            <w:tcW w:type="dxa" w:w="1872"/>
          </w:tcPr>
          <w:p>
            <w:pPr>
              <w:jc w:val="right"/>
              <w:bidi w:val="1"/>
            </w:pPr>
            <w:r>
              <w:rPr>
                <w:sz w:val="16"/>
                <w:rtl w:val="1"/>
              </w:rPr>
              <w:t>نشر حلمنع فقدان البيانات DLP على البيانات الحكومية الحساسة وتطبيق سياسات التصنيف والحماية وفق NCA DCC</w:t>
            </w:r>
          </w:p>
        </w:tc>
        <w:tc>
          <w:tcPr>
            <w:tcW w:type="dxa" w:w="1872"/>
          </w:tcPr>
          <w:p>
            <w:pPr>
              <w:jc w:val="right"/>
              <w:bidi w:val="1"/>
            </w:pPr>
            <w:r>
              <w:rPr>
                <w:sz w:val="16"/>
                <w:rtl w:val="1"/>
              </w:rPr>
              <w:t>CISO</w:t>
            </w:r>
          </w:p>
        </w:tc>
        <w:tc>
          <w:tcPr>
            <w:tcW w:type="dxa" w:w="1872"/>
          </w:tcPr>
          <w:p>
            <w:pPr>
              <w:jc w:val="right"/>
              <w:bidi w:val="1"/>
            </w:pPr>
            <w:r>
              <w:rPr>
                <w:sz w:val="16"/>
                <w:rtl w:val="1"/>
              </w:rPr>
              <w:t>الشهر 3–4</w:t>
            </w:r>
          </w:p>
        </w:tc>
        <w:tc>
          <w:tcPr>
            <w:tcW w:type="dxa" w:w="1872"/>
          </w:tcPr>
          <w:p>
            <w:pPr>
              <w:jc w:val="right"/>
              <w:bidi w:val="1"/>
            </w:pPr>
            <w:r>
              <w:rPr>
                <w:sz w:val="16"/>
                <w:rtl w:val="1"/>
              </w:rPr>
              <w:t>حل DLP مفعّل مع سياسات بيانات حكومية معتمدة</w:t>
            </w:r>
          </w:p>
        </w:tc>
      </w:tr>
      <w:tr>
        <w:tc>
          <w:tcPr>
            <w:tcW w:type="dxa" w:w="1872"/>
          </w:tcPr>
          <w:p>
            <w:pPr>
              <w:jc w:val="right"/>
              <w:bidi w:val="1"/>
            </w:pPr>
            <w:r>
              <w:rPr>
                <w:sz w:val="16"/>
                <w:rtl w:val="1"/>
              </w:rPr>
              <w:t>4</w:t>
            </w:r>
          </w:p>
        </w:tc>
        <w:tc>
          <w:tcPr>
            <w:tcW w:type="dxa" w:w="1872"/>
          </w:tcPr>
          <w:p>
            <w:pPr>
              <w:jc w:val="right"/>
              <w:bidi w:val="1"/>
            </w:pPr>
            <w:r>
              <w:rPr>
                <w:sz w:val="16"/>
                <w:rtl w:val="1"/>
              </w:rPr>
              <w:t>تطبيق ضوابط الوصول عن بُعد الآمن (VPN مؤسسي، جلسات مشفرة، مصادقة ثنائية) ومراجعة إعدادات جدار الحماية</w:t>
            </w:r>
          </w:p>
        </w:tc>
        <w:tc>
          <w:tcPr>
            <w:tcW w:type="dxa" w:w="1872"/>
          </w:tcPr>
          <w:p>
            <w:pPr>
              <w:jc w:val="right"/>
              <w:bidi w:val="1"/>
            </w:pPr>
            <w:r>
              <w:rPr>
                <w:sz w:val="16"/>
                <w:rtl w:val="1"/>
              </w:rPr>
              <w:t>SOC Manager</w:t>
            </w:r>
          </w:p>
        </w:tc>
        <w:tc>
          <w:tcPr>
            <w:tcW w:type="dxa" w:w="1872"/>
          </w:tcPr>
          <w:p>
            <w:pPr>
              <w:jc w:val="right"/>
              <w:bidi w:val="1"/>
            </w:pPr>
            <w:r>
              <w:rPr>
                <w:sz w:val="16"/>
                <w:rtl w:val="1"/>
              </w:rPr>
              <w:t>الشهر 4</w:t>
            </w:r>
          </w:p>
        </w:tc>
        <w:tc>
          <w:tcPr>
            <w:tcW w:type="dxa" w:w="1872"/>
          </w:tcPr>
          <w:p>
            <w:pPr>
              <w:jc w:val="right"/>
              <w:bidi w:val="1"/>
            </w:pPr>
            <w:r>
              <w:rPr>
                <w:sz w:val="16"/>
                <w:rtl w:val="1"/>
              </w:rPr>
              <w:t>بنية وصول عن بُعد آمنة موثقة ومختبرة</w:t>
            </w:r>
          </w:p>
        </w:tc>
      </w:tr>
      <w:tr>
        <w:tc>
          <w:tcPr>
            <w:tcW w:type="dxa" w:w="1872"/>
          </w:tcPr>
          <w:p>
            <w:pPr>
              <w:jc w:val="right"/>
              <w:bidi w:val="1"/>
            </w:pPr>
            <w:r>
              <w:rPr>
                <w:sz w:val="16"/>
                <w:rtl w:val="1"/>
              </w:rPr>
              <w:t>5</w:t>
            </w:r>
          </w:p>
        </w:tc>
        <w:tc>
          <w:tcPr>
            <w:tcW w:type="dxa" w:w="1872"/>
          </w:tcPr>
          <w:p>
            <w:pPr>
              <w:jc w:val="right"/>
              <w:bidi w:val="1"/>
            </w:pPr>
            <w:r>
              <w:rPr>
                <w:sz w:val="16"/>
                <w:rtl w:val="1"/>
              </w:rPr>
              <w:t>إجراء اختبار الاختراق السنوي الأول من طرف ثالث مستقل ورفع التقرير النهائي مع خطة معالجة للإدارة العليا</w:t>
            </w:r>
          </w:p>
        </w:tc>
        <w:tc>
          <w:tcPr>
            <w:tcW w:type="dxa" w:w="1872"/>
          </w:tcPr>
          <w:p>
            <w:pPr>
              <w:jc w:val="right"/>
              <w:bidi w:val="1"/>
            </w:pPr>
            <w:r>
              <w:rPr>
                <w:sz w:val="16"/>
                <w:rtl w:val="1"/>
              </w:rPr>
              <w:t>CISO</w:t>
            </w:r>
          </w:p>
        </w:tc>
        <w:tc>
          <w:tcPr>
            <w:tcW w:type="dxa" w:w="1872"/>
          </w:tcPr>
          <w:p>
            <w:pPr>
              <w:jc w:val="right"/>
              <w:bidi w:val="1"/>
            </w:pPr>
            <w:r>
              <w:rPr>
                <w:sz w:val="16"/>
                <w:rtl w:val="1"/>
              </w:rPr>
              <w:t>الشهر 6</w:t>
            </w:r>
          </w:p>
        </w:tc>
        <w:tc>
          <w:tcPr>
            <w:tcW w:type="dxa" w:w="1872"/>
          </w:tcPr>
          <w:p>
            <w:pPr>
              <w:jc w:val="right"/>
              <w:bidi w:val="1"/>
            </w:pPr>
            <w:r>
              <w:rPr>
                <w:sz w:val="16"/>
                <w:rtl w:val="1"/>
              </w:rPr>
              <w:t>تقرير اختبار الاختراق وخطة معالجة معتمدة</w:t>
            </w:r>
          </w:p>
        </w:tc>
      </w:tr>
    </w:tbl>
    <w:p/>
    <w:p>
      <w:r>
        <w:br w:type="page"/>
      </w:r>
    </w:p>
    <w:p>
      <w:pPr>
        <w:spacing w:before="160" w:after="40"/>
        <w:jc w:val="right"/>
        <w:bidi w:val="1"/>
      </w:pPr>
      <w:r>
        <w:rPr>
          <w:b/>
          <w:color w:val="1D2B4F"/>
          <w:sz w:val="28"/>
          <w:rtl w:val="1"/>
        </w:rPr>
        <w:t>خارطة الطريق التنفيذية</w:t>
      </w:r>
    </w:p>
    <w:p>
      <w:pPr>
        <w:pBdr>
          <w:bottom w:val="single" w:sz="12" w:space="2" w:color="D04A02"/>
        </w:pBdr>
        <w:spacing w:after="160"/>
      </w:pPr>
    </w:p>
    <w:tbl>
      <w:tblPr>
        <w:tblW w:type="auto" w:w="0"/>
        <w:jc w:val="right"/>
        <w:tblLook w:firstColumn="1" w:firstRow="1" w:lastColumn="0" w:lastRow="0" w:noHBand="0" w:noVBand="1" w:val="04A0"/>
      </w:tblPr>
      <w:tblGrid>
        <w:gridCol w:w="1560"/>
        <w:gridCol w:w="1560"/>
        <w:gridCol w:w="1560"/>
        <w:gridCol w:w="1560"/>
        <w:gridCol w:w="1560"/>
        <w:gridCol w:w="1560"/>
      </w:tblGrid>
      <w:tr>
        <w:tc>
          <w:tcPr>
            <w:tcW w:type="dxa" w:w="1560"/>
            <w:shd w:val="clear" w:color="auto" w:fill="1D2B4F"/>
          </w:tcPr>
          <w:p>
            <w:pPr>
              <w:jc w:val="right"/>
              <w:bidi w:val="1"/>
            </w:pPr>
            <w:r>
              <w:rPr>
                <w:b/>
                <w:color w:val="FFFFFF"/>
                <w:sz w:val="18"/>
                <w:rtl w:val="1"/>
              </w:rPr>
              <w:t>المرحلة</w:t>
            </w:r>
          </w:p>
        </w:tc>
        <w:tc>
          <w:tcPr>
            <w:tcW w:type="dxa" w:w="1560"/>
            <w:shd w:val="clear" w:color="auto" w:fill="1D2B4F"/>
          </w:tcPr>
          <w:p>
            <w:pPr>
              <w:jc w:val="right"/>
              <w:bidi w:val="1"/>
            </w:pPr>
            <w:r>
              <w:rPr>
                <w:b/>
                <w:color w:val="FFFFFF"/>
                <w:sz w:val="18"/>
                <w:rtl w:val="1"/>
              </w:rPr>
              <w:t>الفترة</w:t>
            </w:r>
          </w:p>
        </w:tc>
        <w:tc>
          <w:tcPr>
            <w:tcW w:type="dxa" w:w="1560"/>
            <w:shd w:val="clear" w:color="auto" w:fill="1D2B4F"/>
          </w:tcPr>
          <w:p>
            <w:pPr>
              <w:jc w:val="right"/>
              <w:bidi w:val="1"/>
            </w:pPr>
            <w:r>
              <w:rPr>
                <w:b/>
                <w:color w:val="FFFFFF"/>
                <w:sz w:val="18"/>
                <w:rtl w:val="1"/>
              </w:rPr>
              <w:t>المبادرة</w:t>
            </w:r>
          </w:p>
        </w:tc>
        <w:tc>
          <w:tcPr>
            <w:tcW w:type="dxa" w:w="1560"/>
            <w:shd w:val="clear" w:color="auto" w:fill="1D2B4F"/>
          </w:tcPr>
          <w:p>
            <w:pPr>
              <w:jc w:val="right"/>
              <w:bidi w:val="1"/>
            </w:pPr>
            <w:r>
              <w:rPr>
                <w:b/>
                <w:color w:val="FFFFFF"/>
                <w:sz w:val="18"/>
                <w:rtl w:val="1"/>
              </w:rPr>
              <w:t>المسؤول</w:t>
            </w:r>
          </w:p>
        </w:tc>
        <w:tc>
          <w:tcPr>
            <w:tcW w:type="dxa" w:w="1560"/>
            <w:shd w:val="clear" w:color="auto" w:fill="1D2B4F"/>
          </w:tcPr>
          <w:p>
            <w:pPr>
              <w:jc w:val="right"/>
              <w:bidi w:val="1"/>
            </w:pPr>
            <w:r>
              <w:rPr>
                <w:b/>
                <w:color w:val="FFFFFF"/>
                <w:sz w:val="18"/>
                <w:rtl w:val="1"/>
              </w:rPr>
              <w:t>المخرج المتوقع</w:t>
            </w:r>
          </w:p>
        </w:tc>
        <w:tc>
          <w:tcPr>
            <w:tcW w:type="dxa" w:w="1560"/>
            <w:shd w:val="clear" w:color="auto" w:fill="1D2B4F"/>
          </w:tcPr>
          <w:p>
            <w:pPr>
              <w:jc w:val="right"/>
              <w:bidi w:val="1"/>
            </w:pPr>
            <w:r>
              <w:rPr>
                <w:b/>
                <w:color w:val="FFFFFF"/>
                <w:sz w:val="18"/>
                <w:rtl w:val="1"/>
              </w:rPr>
              <w:t>الإطار المرتبط</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تأسيس إدارة الأمن السيبراني وتعيين CISO</w:t>
            </w:r>
          </w:p>
        </w:tc>
        <w:tc>
          <w:tcPr>
            <w:tcW w:type="dxa" w:w="1560"/>
          </w:tcPr>
          <w:p>
            <w:pPr>
              <w:jc w:val="right"/>
              <w:bidi w:val="1"/>
            </w:pPr>
            <w:r>
              <w:rPr>
                <w:sz w:val="16"/>
                <w:rtl w:val="1"/>
              </w:rPr>
              <w:t>CISO / الإدارة العليا</w:t>
            </w:r>
          </w:p>
        </w:tc>
        <w:tc>
          <w:tcPr>
            <w:tcW w:type="dxa" w:w="1560"/>
          </w:tcPr>
          <w:p>
            <w:pPr>
              <w:jc w:val="right"/>
              <w:bidi w:val="1"/>
            </w:pPr>
            <w:r>
              <w:rPr>
                <w:sz w:val="16"/>
                <w:rtl w:val="1"/>
              </w:rPr>
              <w:t>هيكل CISO ولجنة حوكمة معتمدة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نشر حلول الحماية من البرمجيات الخبيثة على جميع النقاط</w:t>
            </w:r>
          </w:p>
        </w:tc>
        <w:tc>
          <w:tcPr>
            <w:tcW w:type="dxa" w:w="1560"/>
          </w:tcPr>
          <w:p>
            <w:pPr>
              <w:jc w:val="right"/>
              <w:bidi w:val="1"/>
            </w:pPr>
            <w:r>
              <w:rPr>
                <w:sz w:val="16"/>
                <w:rtl w:val="1"/>
              </w:rPr>
              <w:t>فريق العمليات</w:t>
            </w:r>
          </w:p>
        </w:tc>
        <w:tc>
          <w:tcPr>
            <w:tcW w:type="dxa" w:w="1560"/>
          </w:tcPr>
          <w:p>
            <w:pPr>
              <w:jc w:val="right"/>
              <w:bidi w:val="1"/>
            </w:pPr>
            <w:r>
              <w:rPr>
                <w:sz w:val="16"/>
                <w:rtl w:val="1"/>
              </w:rPr>
              <w:t>مخرج برنامج معتمد ومقاس</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تأسيس حوكمة الأمن السيبراني</w:t>
            </w:r>
          </w:p>
        </w:tc>
        <w:tc>
          <w:tcPr>
            <w:tcW w:type="dxa" w:w="1560"/>
          </w:tcPr>
          <w:p>
            <w:pPr>
              <w:jc w:val="right"/>
              <w:bidi w:val="1"/>
            </w:pPr>
            <w:r>
              <w:rPr>
                <w:sz w:val="16"/>
                <w:rtl w:val="1"/>
              </w:rPr>
              <w:t>CISO</w:t>
            </w:r>
          </w:p>
        </w:tc>
        <w:tc>
          <w:tcPr>
            <w:tcW w:type="dxa" w:w="1560"/>
          </w:tcPr>
          <w:p>
            <w:pPr>
              <w:jc w:val="right"/>
              <w:bidi w:val="1"/>
            </w:pPr>
            <w:r>
              <w:rPr>
                <w:sz w:val="16"/>
                <w:rtl w:val="1"/>
              </w:rPr>
              <w:t>هيكل حوكمة وسياسات معتمدة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تأسيس CSIRT وخطط الاستجابة</w:t>
            </w:r>
          </w:p>
        </w:tc>
        <w:tc>
          <w:tcPr>
            <w:tcW w:type="dxa" w:w="1560"/>
          </w:tcPr>
          <w:p>
            <w:pPr>
              <w:jc w:val="right"/>
              <w:bidi w:val="1"/>
            </w:pPr>
            <w:r>
              <w:rPr>
                <w:sz w:val="16"/>
                <w:rtl w:val="1"/>
              </w:rPr>
              <w:t>قائد CSIRT</w:t>
            </w:r>
          </w:p>
        </w:tc>
        <w:tc>
          <w:tcPr>
            <w:tcW w:type="dxa" w:w="1560"/>
          </w:tcPr>
          <w:p>
            <w:pPr>
              <w:jc w:val="right"/>
              <w:bidi w:val="1"/>
            </w:pPr>
            <w:r>
              <w:rPr>
                <w:sz w:val="16"/>
                <w:rtl w:val="1"/>
              </w:rPr>
              <w:t>فريق CSIRT وخطط استجابة معتمدة ومختبرة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برنامج إدارة الثغرات</w:t>
            </w:r>
          </w:p>
        </w:tc>
        <w:tc>
          <w:tcPr>
            <w:tcW w:type="dxa" w:w="1560"/>
          </w:tcPr>
          <w:p>
            <w:pPr>
              <w:jc w:val="right"/>
              <w:bidi w:val="1"/>
            </w:pPr>
            <w:r>
              <w:rPr>
                <w:sz w:val="16"/>
                <w:rtl w:val="1"/>
              </w:rPr>
              <w:t>مدير الثغرات</w:t>
            </w:r>
          </w:p>
        </w:tc>
        <w:tc>
          <w:tcPr>
            <w:tcW w:type="dxa" w:w="1560"/>
          </w:tcPr>
          <w:p>
            <w:pPr>
              <w:jc w:val="right"/>
              <w:bidi w:val="1"/>
            </w:pPr>
            <w:r>
              <w:rPr>
                <w:sz w:val="16"/>
                <w:rtl w:val="1"/>
              </w:rPr>
              <w:t>برنامج ثغرات مع SLA للمعالجة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تمكين وتشغيل SOC/SIEM</w:t>
            </w:r>
          </w:p>
        </w:tc>
        <w:tc>
          <w:tcPr>
            <w:tcW w:type="dxa" w:w="1560"/>
          </w:tcPr>
          <w:p>
            <w:pPr>
              <w:jc w:val="right"/>
              <w:bidi w:val="1"/>
            </w:pPr>
            <w:r>
              <w:rPr>
                <w:sz w:val="16"/>
                <w:rtl w:val="1"/>
              </w:rPr>
              <w:t>مدير SOC</w:t>
            </w:r>
          </w:p>
        </w:tc>
        <w:tc>
          <w:tcPr>
            <w:tcW w:type="dxa" w:w="1560"/>
          </w:tcPr>
          <w:p>
            <w:pPr>
              <w:jc w:val="right"/>
              <w:bidi w:val="1"/>
            </w:pPr>
            <w:r>
              <w:rPr>
                <w:sz w:val="16"/>
                <w:rtl w:val="1"/>
              </w:rPr>
              <w:t>SOC/SIEM تشغيلي</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3: تحسين واستدامة (19-24 شهر)</w:t>
            </w:r>
          </w:p>
        </w:tc>
        <w:tc>
          <w:tcPr>
            <w:tcW w:type="dxa" w:w="1560"/>
          </w:tcPr>
          <w:p>
            <w:pPr>
              <w:jc w:val="right"/>
              <w:bidi w:val="1"/>
            </w:pPr>
            <w:r>
              <w:rPr>
                <w:sz w:val="16"/>
                <w:rtl w:val="1"/>
              </w:rPr>
              <w:t>19-24 شهر</w:t>
            </w:r>
          </w:p>
        </w:tc>
        <w:tc>
          <w:tcPr>
            <w:tcW w:type="dxa" w:w="1560"/>
          </w:tcPr>
          <w:p>
            <w:pPr>
              <w:jc w:val="right"/>
              <w:bidi w:val="1"/>
            </w:pPr>
            <w:r>
              <w:rPr>
                <w:sz w:val="16"/>
                <w:rtl w:val="1"/>
              </w:rPr>
              <w:t>ضبط معالجة البيانات الحساسة</w:t>
            </w:r>
          </w:p>
        </w:tc>
        <w:tc>
          <w:tcPr>
            <w:tcW w:type="dxa" w:w="1560"/>
          </w:tcPr>
          <w:p>
            <w:pPr>
              <w:jc w:val="right"/>
              <w:bidi w:val="1"/>
            </w:pPr>
            <w:r>
              <w:rPr>
                <w:sz w:val="16"/>
                <w:rtl w:val="1"/>
              </w:rPr>
              <w:t>مسؤول حماية البيانات</w:t>
            </w:r>
          </w:p>
        </w:tc>
        <w:tc>
          <w:tcPr>
            <w:tcW w:type="dxa" w:w="1560"/>
          </w:tcPr>
          <w:p>
            <w:pPr>
              <w:jc w:val="right"/>
              <w:bidi w:val="1"/>
            </w:pPr>
            <w:r>
              <w:rPr>
                <w:sz w:val="16"/>
                <w:rtl w:val="1"/>
              </w:rPr>
              <w:t>إجراءات معالجة بيانات حساسة معتمدة</w:t>
            </w:r>
          </w:p>
        </w:tc>
        <w:tc>
          <w:tcPr>
            <w:tcW w:type="dxa" w:w="1560"/>
          </w:tcPr>
          <w:p>
            <w:pPr>
              <w:jc w:val="right"/>
              <w:bidi w:val="1"/>
            </w:pPr>
            <w:r>
              <w:rPr>
                <w:sz w:val="16"/>
                <w:rtl w:val="1"/>
              </w:rPr>
              <w:t>NCA DCC</w:t>
            </w:r>
          </w:p>
        </w:tc>
      </w:tr>
    </w:tbl>
    <w:p/>
    <w:p>
      <w:r>
        <w:br w:type="page"/>
      </w:r>
    </w:p>
    <w:p>
      <w:pPr>
        <w:spacing w:before="160" w:after="40"/>
        <w:jc w:val="right"/>
        <w:bidi w:val="1"/>
      </w:pPr>
      <w:r>
        <w:rPr>
          <w:b/>
          <w:color w:val="1D2B4F"/>
          <w:sz w:val="28"/>
          <w:rtl w:val="1"/>
        </w:rPr>
        <w:t>مؤشرات الأداء الرئيسية</w:t>
      </w:r>
    </w:p>
    <w:p>
      <w:pPr>
        <w:pBdr>
          <w:bottom w:val="single" w:sz="12" w:space="2" w:color="D04A02"/>
        </w:pBdr>
        <w:spacing w:after="160"/>
      </w:pPr>
    </w:p>
    <w:tbl>
      <w:tblPr>
        <w:tblW w:type="auto" w:w="0"/>
        <w:jc w:val="righ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D2B4F"/>
          </w:tcPr>
          <w:p>
            <w:pPr>
              <w:jc w:val="right"/>
              <w:bidi w:val="1"/>
            </w:pPr>
            <w:r>
              <w:rPr>
                <w:b/>
                <w:color w:val="FFFFFF"/>
                <w:sz w:val="18"/>
                <w:rtl w:val="1"/>
              </w:rPr>
              <w:t>#</w:t>
            </w:r>
          </w:p>
        </w:tc>
        <w:tc>
          <w:tcPr>
            <w:tcW w:type="dxa" w:w="1337"/>
            <w:shd w:val="clear" w:color="auto" w:fill="1D2B4F"/>
          </w:tcPr>
          <w:p>
            <w:pPr>
              <w:jc w:val="right"/>
              <w:bidi w:val="1"/>
            </w:pPr>
            <w:r>
              <w:rPr>
                <w:b/>
                <w:color w:val="FFFFFF"/>
                <w:sz w:val="18"/>
                <w:rtl w:val="1"/>
              </w:rPr>
              <w:t>المؤشر</w:t>
            </w:r>
          </w:p>
        </w:tc>
        <w:tc>
          <w:tcPr>
            <w:tcW w:type="dxa" w:w="1337"/>
            <w:shd w:val="clear" w:color="auto" w:fill="1D2B4F"/>
          </w:tcPr>
          <w:p>
            <w:pPr>
              <w:jc w:val="right"/>
              <w:bidi w:val="1"/>
            </w:pPr>
            <w:r>
              <w:rPr>
                <w:b/>
                <w:color w:val="FFFFFF"/>
                <w:sz w:val="18"/>
                <w:rtl w:val="1"/>
              </w:rPr>
              <w:t>النوع</w:t>
            </w:r>
          </w:p>
        </w:tc>
        <w:tc>
          <w:tcPr>
            <w:tcW w:type="dxa" w:w="1337"/>
            <w:shd w:val="clear" w:color="auto" w:fill="1D2B4F"/>
          </w:tcPr>
          <w:p>
            <w:pPr>
              <w:jc w:val="right"/>
              <w:bidi w:val="1"/>
            </w:pPr>
            <w:r>
              <w:rPr>
                <w:b/>
                <w:color w:val="FFFFFF"/>
                <w:sz w:val="18"/>
                <w:rtl w:val="1"/>
              </w:rPr>
              <w:t>القيمة المستهدفة</w:t>
            </w:r>
          </w:p>
        </w:tc>
        <w:tc>
          <w:tcPr>
            <w:tcW w:type="dxa" w:w="1337"/>
            <w:shd w:val="clear" w:color="auto" w:fill="1D2B4F"/>
          </w:tcPr>
          <w:p>
            <w:pPr>
              <w:jc w:val="right"/>
              <w:bidi w:val="1"/>
            </w:pPr>
            <w:r>
              <w:rPr>
                <w:b/>
                <w:color w:val="FFFFFF"/>
                <w:sz w:val="18"/>
                <w:rtl w:val="1"/>
              </w:rPr>
              <w:t>التكرار</w:t>
            </w:r>
          </w:p>
        </w:tc>
        <w:tc>
          <w:tcPr>
            <w:tcW w:type="dxa" w:w="1337"/>
            <w:shd w:val="clear" w:color="auto" w:fill="1D2B4F"/>
          </w:tcPr>
          <w:p>
            <w:pPr>
              <w:jc w:val="right"/>
              <w:bidi w:val="1"/>
            </w:pPr>
            <w:r>
              <w:rPr>
                <w:b/>
                <w:color w:val="FFFFFF"/>
                <w:sz w:val="18"/>
                <w:rtl w:val="1"/>
              </w:rPr>
              <w:t>المالك</w:t>
            </w:r>
          </w:p>
        </w:tc>
        <w:tc>
          <w:tcPr>
            <w:tcW w:type="dxa" w:w="1337"/>
            <w:shd w:val="clear" w:color="auto" w:fill="1D2B4F"/>
          </w:tcPr>
          <w:p>
            <w:pPr>
              <w:jc w:val="right"/>
              <w:bidi w:val="1"/>
            </w:pPr>
            <w:r>
              <w:rPr>
                <w:b/>
                <w:color w:val="FFFFFF"/>
                <w:sz w:val="18"/>
                <w:rtl w:val="1"/>
              </w:rPr>
              <w:t>الإطار الزمني</w:t>
            </w:r>
          </w:p>
        </w:tc>
      </w:tr>
      <w:tr>
        <w:tc>
          <w:tcPr>
            <w:tcW w:type="dxa" w:w="1337"/>
          </w:tcPr>
          <w:p>
            <w:pPr>
              <w:jc w:val="right"/>
              <w:bidi w:val="1"/>
            </w:pPr>
            <w:r>
              <w:rPr>
                <w:sz w:val="16"/>
                <w:rtl w:val="1"/>
              </w:rPr>
              <w:t>1</w:t>
            </w:r>
          </w:p>
        </w:tc>
        <w:tc>
          <w:tcPr>
            <w:tcW w:type="dxa" w:w="1337"/>
          </w:tcPr>
          <w:p>
            <w:pPr>
              <w:jc w:val="right"/>
              <w:bidi w:val="1"/>
            </w:pPr>
            <w:r>
              <w:rPr>
                <w:sz w:val="16"/>
                <w:rtl w:val="1"/>
              </w:rPr>
              <w:t>متوسط زمن اكتشاف الحوادث الأمنية</w:t>
            </w:r>
          </w:p>
        </w:tc>
        <w:tc>
          <w:tcPr>
            <w:tcW w:type="dxa" w:w="1337"/>
          </w:tcPr>
          <w:p>
            <w:pPr>
              <w:jc w:val="right"/>
              <w:bidi w:val="1"/>
            </w:pPr>
            <w:r>
              <w:rPr>
                <w:sz w:val="16"/>
                <w:rtl w:val="1"/>
              </w:rPr>
              <w:t>KPI</w:t>
            </w:r>
          </w:p>
        </w:tc>
        <w:tc>
          <w:tcPr>
            <w:tcW w:type="dxa" w:w="1337"/>
          </w:tcPr>
          <w:p>
            <w:pPr>
              <w:jc w:val="right"/>
              <w:bidi w:val="1"/>
            </w:pPr>
            <w:r>
              <w:rPr>
                <w:sz w:val="16"/>
                <w:rtl w:val="1"/>
              </w:rPr>
              <w:t>&lt; 4 ساعات</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شهري</w:t>
            </w:r>
          </w:p>
        </w:tc>
      </w:tr>
      <w:tr>
        <w:tc>
          <w:tcPr>
            <w:tcW w:type="dxa" w:w="1337"/>
          </w:tcPr>
          <w:p>
            <w:pPr>
              <w:jc w:val="right"/>
              <w:bidi w:val="1"/>
            </w:pPr>
            <w:r>
              <w:rPr>
                <w:sz w:val="16"/>
                <w:rtl w:val="1"/>
              </w:rPr>
              <w:t>2</w:t>
            </w:r>
          </w:p>
        </w:tc>
        <w:tc>
          <w:tcPr>
            <w:tcW w:type="dxa" w:w="1337"/>
          </w:tcPr>
          <w:p>
            <w:pPr>
              <w:jc w:val="right"/>
              <w:bidi w:val="1"/>
            </w:pPr>
            <w:r>
              <w:rPr>
                <w:sz w:val="16"/>
                <w:rtl w:val="1"/>
              </w:rPr>
              <w:t>متوسط زمن الاستجابة للحوادث (MTTR)</w:t>
            </w:r>
          </w:p>
        </w:tc>
        <w:tc>
          <w:tcPr>
            <w:tcW w:type="dxa" w:w="1337"/>
          </w:tcPr>
          <w:p>
            <w:pPr>
              <w:jc w:val="right"/>
              <w:bidi w:val="1"/>
            </w:pPr>
            <w:r>
              <w:rPr>
                <w:sz w:val="16"/>
                <w:rtl w:val="1"/>
              </w:rPr>
              <w:t>KPI</w:t>
            </w:r>
          </w:p>
        </w:tc>
        <w:tc>
          <w:tcPr>
            <w:tcW w:type="dxa" w:w="1337"/>
          </w:tcPr>
          <w:p>
            <w:pPr>
              <w:jc w:val="right"/>
              <w:bidi w:val="1"/>
            </w:pPr>
            <w:r>
              <w:rPr>
                <w:sz w:val="16"/>
                <w:rtl w:val="1"/>
              </w:rPr>
              <w:t>&lt; 4 ساعات</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شهري</w:t>
            </w:r>
          </w:p>
        </w:tc>
      </w:tr>
      <w:tr>
        <w:tc>
          <w:tcPr>
            <w:tcW w:type="dxa" w:w="1337"/>
          </w:tcPr>
          <w:p>
            <w:pPr>
              <w:jc w:val="right"/>
              <w:bidi w:val="1"/>
            </w:pPr>
            <w:r>
              <w:rPr>
                <w:sz w:val="16"/>
                <w:rtl w:val="1"/>
              </w:rPr>
              <w:t>3</w:t>
            </w:r>
          </w:p>
        </w:tc>
        <w:tc>
          <w:tcPr>
            <w:tcW w:type="dxa" w:w="1337"/>
          </w:tcPr>
          <w:p>
            <w:pPr>
              <w:jc w:val="right"/>
              <w:bidi w:val="1"/>
            </w:pPr>
            <w:r>
              <w:rPr>
                <w:sz w:val="16"/>
                <w:rtl w:val="1"/>
              </w:rPr>
              <w:t>نسبة إغلاق الثغرات الحرجة ضمن SLA</w:t>
            </w:r>
          </w:p>
        </w:tc>
        <w:tc>
          <w:tcPr>
            <w:tcW w:type="dxa" w:w="1337"/>
          </w:tcPr>
          <w:p>
            <w:pPr>
              <w:jc w:val="right"/>
              <w:bidi w:val="1"/>
            </w:pPr>
            <w:r>
              <w:rPr>
                <w:sz w:val="16"/>
                <w:rtl w:val="1"/>
              </w:rPr>
              <w:t>KPI</w:t>
            </w:r>
          </w:p>
        </w:tc>
        <w:tc>
          <w:tcPr>
            <w:tcW w:type="dxa" w:w="1337"/>
          </w:tcPr>
          <w:p>
            <w:pPr>
              <w:jc w:val="right"/>
              <w:bidi w:val="1"/>
            </w:pPr>
            <w:r>
              <w:rPr>
                <w:sz w:val="16"/>
                <w:rtl w:val="1"/>
              </w:rPr>
              <w:t>95% خلال 72 ساعة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شهري</w:t>
            </w:r>
          </w:p>
        </w:tc>
      </w:tr>
      <w:tr>
        <w:tc>
          <w:tcPr>
            <w:tcW w:type="dxa" w:w="1337"/>
          </w:tcPr>
          <w:p>
            <w:pPr>
              <w:jc w:val="right"/>
              <w:bidi w:val="1"/>
            </w:pPr>
            <w:r>
              <w:rPr>
                <w:sz w:val="16"/>
                <w:rtl w:val="1"/>
              </w:rPr>
              <w:t>4</w:t>
            </w:r>
          </w:p>
        </w:tc>
        <w:tc>
          <w:tcPr>
            <w:tcW w:type="dxa" w:w="1337"/>
          </w:tcPr>
          <w:p>
            <w:pPr>
              <w:jc w:val="right"/>
              <w:bidi w:val="1"/>
            </w:pPr>
            <w:r>
              <w:rPr>
                <w:sz w:val="16"/>
                <w:rtl w:val="1"/>
              </w:rPr>
              <w:t>نسبة محاولات الدخول الفاشلة الشاذة</w:t>
            </w:r>
          </w:p>
        </w:tc>
        <w:tc>
          <w:tcPr>
            <w:tcW w:type="dxa" w:w="1337"/>
          </w:tcPr>
          <w:p>
            <w:pPr>
              <w:jc w:val="right"/>
              <w:bidi w:val="1"/>
            </w:pPr>
            <w:r>
              <w:rPr>
                <w:sz w:val="16"/>
                <w:rtl w:val="1"/>
              </w:rPr>
              <w:t>KPI</w:t>
            </w:r>
          </w:p>
        </w:tc>
        <w:tc>
          <w:tcPr>
            <w:tcW w:type="dxa" w:w="1337"/>
          </w:tcPr>
          <w:p>
            <w:pPr>
              <w:jc w:val="right"/>
              <w:bidi w:val="1"/>
            </w:pPr>
            <w:r>
              <w:rPr>
                <w:sz w:val="16"/>
                <w:rtl w:val="1"/>
              </w:rPr>
              <w:t>100%</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أسبوعي</w:t>
            </w:r>
          </w:p>
        </w:tc>
      </w:tr>
      <w:tr>
        <w:tc>
          <w:tcPr>
            <w:tcW w:type="dxa" w:w="1337"/>
          </w:tcPr>
          <w:p>
            <w:pPr>
              <w:jc w:val="right"/>
              <w:bidi w:val="1"/>
            </w:pPr>
            <w:r>
              <w:rPr>
                <w:sz w:val="16"/>
                <w:rtl w:val="1"/>
              </w:rPr>
              <w:t>5</w:t>
            </w:r>
          </w:p>
        </w:tc>
        <w:tc>
          <w:tcPr>
            <w:tcW w:type="dxa" w:w="1337"/>
          </w:tcPr>
          <w:p>
            <w:pPr>
              <w:jc w:val="right"/>
              <w:bidi w:val="1"/>
            </w:pPr>
            <w:r>
              <w:rPr>
                <w:sz w:val="16"/>
                <w:rtl w:val="1"/>
              </w:rPr>
              <w:t>عدد حوادث تسرب البيانات الحرجة</w:t>
            </w:r>
          </w:p>
        </w:tc>
        <w:tc>
          <w:tcPr>
            <w:tcW w:type="dxa" w:w="1337"/>
          </w:tcPr>
          <w:p>
            <w:pPr>
              <w:jc w:val="right"/>
              <w:bidi w:val="1"/>
            </w:pPr>
            <w:r>
              <w:rPr>
                <w:sz w:val="16"/>
                <w:rtl w:val="1"/>
              </w:rPr>
              <w:t>KPI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شهري</w:t>
            </w:r>
          </w:p>
        </w:tc>
      </w:tr>
      <w:tr>
        <w:tc>
          <w:tcPr>
            <w:tcW w:type="dxa" w:w="1337"/>
          </w:tcPr>
          <w:p>
            <w:pPr>
              <w:jc w:val="right"/>
              <w:bidi w:val="1"/>
            </w:pPr>
            <w:r>
              <w:rPr>
                <w:sz w:val="16"/>
                <w:rtl w:val="1"/>
              </w:rPr>
              <w:t>6</w:t>
            </w:r>
          </w:p>
        </w:tc>
        <w:tc>
          <w:tcPr>
            <w:tcW w:type="dxa" w:w="1337"/>
          </w:tcPr>
          <w:p>
            <w:pPr>
              <w:jc w:val="right"/>
              <w:bidi w:val="1"/>
            </w:pPr>
            <w:r>
              <w:rPr>
                <w:sz w:val="16"/>
                <w:rtl w:val="1"/>
              </w:rPr>
              <w:t>نسبة تغطية التشفير للبيانات الحساسة</w:t>
            </w:r>
          </w:p>
        </w:tc>
        <w:tc>
          <w:tcPr>
            <w:tcW w:type="dxa" w:w="1337"/>
          </w:tcPr>
          <w:p>
            <w:pPr>
              <w:jc w:val="right"/>
              <w:bidi w:val="1"/>
            </w:pPr>
            <w:r>
              <w:rPr>
                <w:sz w:val="16"/>
                <w:rtl w:val="1"/>
              </w:rPr>
              <w:t>KPI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ربع سنوي</w:t>
            </w:r>
          </w:p>
        </w:tc>
      </w:tr>
      <w:tr>
        <w:tc>
          <w:tcPr>
            <w:tcW w:type="dxa" w:w="1337"/>
          </w:tcPr>
          <w:p>
            <w:pPr>
              <w:jc w:val="right"/>
              <w:bidi w:val="1"/>
            </w:pPr>
            <w:r>
              <w:rPr>
                <w:sz w:val="16"/>
                <w:rtl w:val="1"/>
              </w:rPr>
              <w:t>7</w:t>
            </w:r>
          </w:p>
        </w:tc>
        <w:tc>
          <w:tcPr>
            <w:tcW w:type="dxa" w:w="1337"/>
          </w:tcPr>
          <w:p>
            <w:pPr>
              <w:jc w:val="right"/>
              <w:bidi w:val="1"/>
            </w:pPr>
            <w:r>
              <w:rPr>
                <w:sz w:val="16"/>
                <w:rtl w:val="1"/>
              </w:rPr>
              <w:t>درجة مخاطر الأطراف الثالثة</w:t>
            </w:r>
          </w:p>
        </w:tc>
        <w:tc>
          <w:tcPr>
            <w:tcW w:type="dxa" w:w="1337"/>
          </w:tcPr>
          <w:p>
            <w:pPr>
              <w:jc w:val="right"/>
              <w:bidi w:val="1"/>
            </w:pPr>
            <w:r>
              <w:rPr>
                <w:sz w:val="16"/>
                <w:rtl w:val="1"/>
              </w:rPr>
              <w:t>KRI</w:t>
            </w:r>
          </w:p>
        </w:tc>
        <w:tc>
          <w:tcPr>
            <w:tcW w:type="dxa" w:w="1337"/>
          </w:tcPr>
          <w:p>
            <w:pPr>
              <w:jc w:val="right"/>
              <w:bidi w:val="1"/>
            </w:pPr>
            <w:r>
              <w:rPr>
                <w:sz w:val="16"/>
                <w:rtl w:val="1"/>
              </w:rPr>
              <w:t>100%</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ربع سنوي</w:t>
            </w:r>
          </w:p>
        </w:tc>
      </w:tr>
      <w:tr>
        <w:tc>
          <w:tcPr>
            <w:tcW w:type="dxa" w:w="1337"/>
          </w:tcPr>
          <w:p>
            <w:pPr>
              <w:jc w:val="right"/>
              <w:bidi w:val="1"/>
            </w:pPr>
            <w:r>
              <w:rPr>
                <w:sz w:val="16"/>
                <w:rtl w:val="1"/>
              </w:rPr>
              <w:t>8</w:t>
            </w:r>
          </w:p>
        </w:tc>
        <w:tc>
          <w:tcPr>
            <w:tcW w:type="dxa" w:w="1337"/>
          </w:tcPr>
          <w:p>
            <w:pPr>
              <w:jc w:val="right"/>
              <w:bidi w:val="1"/>
            </w:pPr>
            <w:r>
              <w:rPr>
                <w:sz w:val="16"/>
                <w:rtl w:val="1"/>
              </w:rPr>
              <w:t>نسبة الأصول المُصنّفة وفق ضوابط البيانات</w:t>
            </w:r>
          </w:p>
        </w:tc>
        <w:tc>
          <w:tcPr>
            <w:tcW w:type="dxa" w:w="1337"/>
          </w:tcPr>
          <w:p>
            <w:pPr>
              <w:jc w:val="right"/>
              <w:bidi w:val="1"/>
            </w:pPr>
            <w:r>
              <w:rPr>
                <w:sz w:val="16"/>
                <w:rtl w:val="1"/>
              </w:rPr>
              <w:t>KPI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ربع سنوي</w:t>
            </w:r>
          </w:p>
        </w:tc>
      </w:tr>
      <w:tr>
        <w:tc>
          <w:tcPr>
            <w:tcW w:type="dxa" w:w="1337"/>
          </w:tcPr>
          <w:p>
            <w:pPr>
              <w:jc w:val="right"/>
              <w:bidi w:val="1"/>
            </w:pPr>
            <w:r>
              <w:rPr>
                <w:sz w:val="16"/>
                <w:rtl w:val="1"/>
              </w:rPr>
              <w:t>9</w:t>
            </w:r>
          </w:p>
        </w:tc>
        <w:tc>
          <w:tcPr>
            <w:tcW w:type="dxa" w:w="1337"/>
          </w:tcPr>
          <w:p>
            <w:pPr>
              <w:jc w:val="right"/>
              <w:bidi w:val="1"/>
            </w:pPr>
            <w:r>
              <w:rPr>
                <w:sz w:val="16"/>
                <w:rtl w:val="1"/>
              </w:rPr>
              <w:t>معدل فشل اختبارات التصيد الاحتيالي</w:t>
            </w:r>
          </w:p>
        </w:tc>
        <w:tc>
          <w:tcPr>
            <w:tcW w:type="dxa" w:w="1337"/>
          </w:tcPr>
          <w:p>
            <w:pPr>
              <w:jc w:val="right"/>
              <w:bidi w:val="1"/>
            </w:pPr>
            <w:r>
              <w:rPr>
                <w:sz w:val="16"/>
                <w:rtl w:val="1"/>
              </w:rPr>
              <w:t>KRI</w:t>
            </w:r>
          </w:p>
        </w:tc>
        <w:tc>
          <w:tcPr>
            <w:tcW w:type="dxa" w:w="1337"/>
          </w:tcPr>
          <w:p>
            <w:pPr>
              <w:jc w:val="right"/>
              <w:bidi w:val="1"/>
            </w:pPr>
            <w:r>
              <w:rPr>
                <w:sz w:val="16"/>
                <w:rtl w:val="1"/>
              </w:rPr>
              <w:t>أقل من 5%</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ربع سنوي</w:t>
            </w:r>
          </w:p>
        </w:tc>
      </w:tr>
      <w:tr>
        <w:tc>
          <w:tcPr>
            <w:tcW w:type="dxa" w:w="1337"/>
          </w:tcPr>
          <w:p>
            <w:pPr>
              <w:jc w:val="right"/>
              <w:bidi w:val="1"/>
            </w:pPr>
            <w:r>
              <w:rPr>
                <w:sz w:val="16"/>
                <w:rtl w:val="1"/>
              </w:rPr>
              <w:t>10</w:t>
            </w:r>
          </w:p>
        </w:tc>
        <w:tc>
          <w:tcPr>
            <w:tcW w:type="dxa" w:w="1337"/>
          </w:tcPr>
          <w:p>
            <w:pPr>
              <w:jc w:val="right"/>
              <w:bidi w:val="1"/>
            </w:pPr>
            <w:r>
              <w:rPr>
                <w:sz w:val="16"/>
                <w:rtl w:val="1"/>
              </w:rPr>
              <w:t>نسبة انعقاد لجنة حوكمة الأمن السيبراني وفق التواتر ال معتمد</w:t>
            </w:r>
          </w:p>
        </w:tc>
        <w:tc>
          <w:tcPr>
            <w:tcW w:type="dxa" w:w="1337"/>
          </w:tcPr>
          <w:p>
            <w:pPr>
              <w:jc w:val="right"/>
              <w:bidi w:val="1"/>
            </w:pPr>
            <w:r>
              <w:rPr>
                <w:sz w:val="16"/>
                <w:rtl w:val="1"/>
              </w:rPr>
              <w:t>KPI</w:t>
            </w:r>
          </w:p>
        </w:tc>
        <w:tc>
          <w:tcPr>
            <w:tcW w:type="dxa" w:w="1337"/>
          </w:tcPr>
          <w:p>
            <w:pPr>
              <w:jc w:val="right"/>
              <w:bidi w:val="1"/>
            </w:pPr>
            <w:r>
              <w:rPr>
                <w:sz w:val="16"/>
                <w:rtl w:val="1"/>
              </w:rPr>
              <w:t>100%</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ربع سنوي</w:t>
            </w:r>
          </w:p>
        </w:tc>
      </w:tr>
    </w:tbl>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صيغة الاحتساب</w:t>
            </w:r>
          </w:p>
        </w:tc>
        <w:tc>
          <w:tcPr>
            <w:tcW w:type="dxa" w:w="2340"/>
            <w:shd w:val="clear" w:color="auto" w:fill="1D2B4F"/>
          </w:tcPr>
          <w:p>
            <w:pPr>
              <w:jc w:val="right"/>
              <w:bidi w:val="1"/>
            </w:pPr>
            <w:r>
              <w:rPr>
                <w:b/>
                <w:color w:val="FFFFFF"/>
                <w:sz w:val="18"/>
                <w:rtl w:val="1"/>
              </w:rPr>
              <w:t>مصدر البيانات</w:t>
            </w:r>
          </w:p>
        </w:tc>
      </w:tr>
      <w:tr>
        <w:tc>
          <w:tcPr>
            <w:tcW w:type="dxa" w:w="2340"/>
          </w:tcPr>
          <w:p>
            <w:pPr>
              <w:jc w:val="right"/>
              <w:bidi w:val="1"/>
            </w:pPr>
            <w:r>
              <w:rPr>
                <w:sz w:val="16"/>
                <w:rtl w:val="1"/>
              </w:rPr>
              <w:t>1</w:t>
            </w:r>
          </w:p>
        </w:tc>
        <w:tc>
          <w:tcPr>
            <w:tcW w:type="dxa" w:w="2340"/>
          </w:tcPr>
          <w:p>
            <w:pPr>
              <w:jc w:val="right"/>
              <w:bidi w:val="1"/>
            </w:pPr>
            <w:r>
              <w:rPr>
                <w:sz w:val="16"/>
                <w:rtl w:val="1"/>
              </w:rPr>
              <w:t>متوسط زمن اكتشاف الحوادث الأمنية</w:t>
            </w:r>
          </w:p>
        </w:tc>
        <w:tc>
          <w:tcPr>
            <w:tcW w:type="dxa" w:w="2340"/>
          </w:tcPr>
          <w:p>
            <w:pPr>
              <w:jc w:val="right"/>
              <w:bidi w:val="1"/>
            </w:pPr>
            <w:r>
              <w:rPr>
                <w:sz w:val="16"/>
                <w:rtl w:val="1"/>
              </w:rPr>
              <w:t>مجموع أزمنة اكتشاف الحوادث / عدد الحوادث</w:t>
            </w:r>
          </w:p>
        </w:tc>
        <w:tc>
          <w:tcPr>
            <w:tcW w:type="dxa" w:w="2340"/>
          </w:tcPr>
          <w:p>
            <w:pPr>
              <w:jc w:val="right"/>
              <w:bidi w:val="1"/>
            </w:pPr>
            <w:r>
              <w:rPr>
                <w:sz w:val="16"/>
                <w:rtl w:val="1"/>
              </w:rPr>
              <w:t>SIEM / SOC</w:t>
            </w:r>
          </w:p>
        </w:tc>
      </w:tr>
      <w:tr>
        <w:tc>
          <w:tcPr>
            <w:tcW w:type="dxa" w:w="2340"/>
          </w:tcPr>
          <w:p>
            <w:pPr>
              <w:jc w:val="right"/>
              <w:bidi w:val="1"/>
            </w:pPr>
            <w:r>
              <w:rPr>
                <w:sz w:val="16"/>
                <w:rtl w:val="1"/>
              </w:rPr>
              <w:t>2</w:t>
            </w:r>
          </w:p>
        </w:tc>
        <w:tc>
          <w:tcPr>
            <w:tcW w:type="dxa" w:w="2340"/>
          </w:tcPr>
          <w:p>
            <w:pPr>
              <w:jc w:val="right"/>
              <w:bidi w:val="1"/>
            </w:pPr>
            <w:r>
              <w:rPr>
                <w:sz w:val="16"/>
                <w:rtl w:val="1"/>
              </w:rPr>
              <w:t>متوسط زمن الاستجابة للحوادث (MTTR)</w:t>
            </w:r>
          </w:p>
        </w:tc>
        <w:tc>
          <w:tcPr>
            <w:tcW w:type="dxa" w:w="2340"/>
          </w:tcPr>
          <w:p>
            <w:pPr>
              <w:jc w:val="right"/>
              <w:bidi w:val="1"/>
            </w:pPr>
            <w:r>
              <w:rPr>
                <w:sz w:val="16"/>
                <w:rtl w:val="1"/>
              </w:rPr>
              <w:t>مجموع أزمنة الاستجابة للحوادث الحرجة / عدد الحوادث الحرجة</w:t>
            </w:r>
          </w:p>
        </w:tc>
        <w:tc>
          <w:tcPr>
            <w:tcW w:type="dxa" w:w="2340"/>
          </w:tcPr>
          <w:p>
            <w:pPr>
              <w:jc w:val="right"/>
              <w:bidi w:val="1"/>
            </w:pPr>
            <w:r>
              <w:rPr>
                <w:sz w:val="16"/>
                <w:rtl w:val="1"/>
              </w:rPr>
              <w:t>ITSM / SOAR / SIEM</w:t>
            </w:r>
          </w:p>
        </w:tc>
      </w:tr>
      <w:tr>
        <w:tc>
          <w:tcPr>
            <w:tcW w:type="dxa" w:w="2340"/>
          </w:tcPr>
          <w:p>
            <w:pPr>
              <w:jc w:val="right"/>
              <w:bidi w:val="1"/>
            </w:pPr>
            <w:r>
              <w:rPr>
                <w:sz w:val="16"/>
                <w:rtl w:val="1"/>
              </w:rPr>
              <w:t>3</w:t>
            </w:r>
          </w:p>
        </w:tc>
        <w:tc>
          <w:tcPr>
            <w:tcW w:type="dxa" w:w="2340"/>
          </w:tcPr>
          <w:p>
            <w:pPr>
              <w:jc w:val="right"/>
              <w:bidi w:val="1"/>
            </w:pPr>
            <w:r>
              <w:rPr>
                <w:sz w:val="16"/>
                <w:rtl w:val="1"/>
              </w:rPr>
              <w:t>نسبة إغلاق الثغرات الحرجة ضمن SLA</w:t>
            </w:r>
          </w:p>
        </w:tc>
        <w:tc>
          <w:tcPr>
            <w:tcW w:type="dxa" w:w="2340"/>
          </w:tcPr>
          <w:p>
            <w:pPr>
              <w:jc w:val="right"/>
              <w:bidi w:val="1"/>
            </w:pPr>
            <w:r>
              <w:rPr>
                <w:sz w:val="16"/>
                <w:rtl w:val="1"/>
              </w:rPr>
              <w:t>(عدد الثغرات الحرجة المغلقة ضمن SLA ÷ إجمالي الثغرات الحرجة) × 100</w:t>
            </w:r>
          </w:p>
        </w:tc>
        <w:tc>
          <w:tcPr>
            <w:tcW w:type="dxa" w:w="2340"/>
          </w:tcPr>
          <w:p>
            <w:pPr>
              <w:jc w:val="right"/>
              <w:bidi w:val="1"/>
            </w:pPr>
            <w:r>
              <w:rPr>
                <w:sz w:val="16"/>
                <w:rtl w:val="1"/>
              </w:rPr>
              <w:t>منصة إدارة الثغرات</w:t>
            </w:r>
          </w:p>
        </w:tc>
      </w:tr>
      <w:tr>
        <w:tc>
          <w:tcPr>
            <w:tcW w:type="dxa" w:w="2340"/>
          </w:tcPr>
          <w:p>
            <w:pPr>
              <w:jc w:val="right"/>
              <w:bidi w:val="1"/>
            </w:pPr>
            <w:r>
              <w:rPr>
                <w:sz w:val="16"/>
                <w:rtl w:val="1"/>
              </w:rPr>
              <w:t>4</w:t>
            </w:r>
          </w:p>
        </w:tc>
        <w:tc>
          <w:tcPr>
            <w:tcW w:type="dxa" w:w="2340"/>
          </w:tcPr>
          <w:p>
            <w:pPr>
              <w:jc w:val="right"/>
              <w:bidi w:val="1"/>
            </w:pPr>
            <w:r>
              <w:rPr>
                <w:sz w:val="16"/>
                <w:rtl w:val="1"/>
              </w:rPr>
              <w:t>نسبة محاولات الدخول الفاشلة الشاذة</w:t>
            </w:r>
          </w:p>
        </w:tc>
        <w:tc>
          <w:tcPr>
            <w:tcW w:type="dxa" w:w="2340"/>
          </w:tcPr>
          <w:p>
            <w:pPr>
              <w:jc w:val="right"/>
              <w:bidi w:val="1"/>
            </w:pPr>
            <w:r>
              <w:rPr>
                <w:sz w:val="16"/>
                <w:rtl w:val="1"/>
              </w:rPr>
              <w:t>(المنجز المقيس ÷ الهدف التشغيلي المعتمد) × 100</w:t>
            </w:r>
          </w:p>
        </w:tc>
        <w:tc>
          <w:tcPr>
            <w:tcW w:type="dxa" w:w="2340"/>
          </w:tcPr>
          <w:p>
            <w:pPr>
              <w:jc w:val="right"/>
              <w:bidi w:val="1"/>
            </w:pPr>
            <w:r>
              <w:rPr>
                <w:sz w:val="16"/>
                <w:rtl w:val="1"/>
              </w:rPr>
              <w:t>مكتب CISO / نظام الحوكمة</w:t>
            </w:r>
          </w:p>
        </w:tc>
      </w:tr>
      <w:tr>
        <w:tc>
          <w:tcPr>
            <w:tcW w:type="dxa" w:w="2340"/>
          </w:tcPr>
          <w:p>
            <w:pPr>
              <w:jc w:val="right"/>
              <w:bidi w:val="1"/>
            </w:pPr>
            <w:r>
              <w:rPr>
                <w:sz w:val="16"/>
                <w:rtl w:val="1"/>
              </w:rPr>
              <w:t>5</w:t>
            </w:r>
          </w:p>
        </w:tc>
        <w:tc>
          <w:tcPr>
            <w:tcW w:type="dxa" w:w="2340"/>
          </w:tcPr>
          <w:p>
            <w:pPr>
              <w:jc w:val="right"/>
              <w:bidi w:val="1"/>
            </w:pPr>
            <w:r>
              <w:rPr>
                <w:sz w:val="16"/>
                <w:rtl w:val="1"/>
              </w:rPr>
              <w:t>عدد حوادث تسرب البيانات الحرجة</w:t>
            </w:r>
          </w:p>
        </w:tc>
        <w:tc>
          <w:tcPr>
            <w:tcW w:type="dxa" w:w="2340"/>
          </w:tcPr>
          <w:p>
            <w:pPr>
              <w:jc w:val="right"/>
              <w:bidi w:val="1"/>
            </w:pPr>
            <w:r>
              <w:rPr>
                <w:sz w:val="16"/>
                <w:rtl w:val="1"/>
              </w:rPr>
              <w:t>(عدد الأصول/البيانات المشفرة / إجمالي البيانات الحساسة المصنفة) × 100</w:t>
            </w:r>
          </w:p>
        </w:tc>
        <w:tc>
          <w:tcPr>
            <w:tcW w:type="dxa" w:w="2340"/>
          </w:tcPr>
          <w:p>
            <w:pPr>
              <w:jc w:val="right"/>
              <w:bidi w:val="1"/>
            </w:pPr>
            <w:r>
              <w:rPr>
                <w:sz w:val="16"/>
                <w:rtl w:val="1"/>
              </w:rPr>
              <w:t>منصة تصنيف البيانات</w:t>
            </w:r>
          </w:p>
        </w:tc>
      </w:tr>
      <w:tr>
        <w:tc>
          <w:tcPr>
            <w:tcW w:type="dxa" w:w="2340"/>
          </w:tcPr>
          <w:p>
            <w:pPr>
              <w:jc w:val="right"/>
              <w:bidi w:val="1"/>
            </w:pPr>
            <w:r>
              <w:rPr>
                <w:sz w:val="16"/>
                <w:rtl w:val="1"/>
              </w:rPr>
              <w:t>6</w:t>
            </w:r>
          </w:p>
        </w:tc>
        <w:tc>
          <w:tcPr>
            <w:tcW w:type="dxa" w:w="2340"/>
          </w:tcPr>
          <w:p>
            <w:pPr>
              <w:jc w:val="right"/>
              <w:bidi w:val="1"/>
            </w:pPr>
            <w:r>
              <w:rPr>
                <w:sz w:val="16"/>
                <w:rtl w:val="1"/>
              </w:rPr>
              <w:t>نسبة تغطية التشفير للبيانات الحساسة</w:t>
            </w:r>
          </w:p>
        </w:tc>
        <w:tc>
          <w:tcPr>
            <w:tcW w:type="dxa" w:w="2340"/>
          </w:tcPr>
          <w:p>
            <w:pPr>
              <w:jc w:val="right"/>
              <w:bidi w:val="1"/>
            </w:pPr>
            <w:r>
              <w:rPr>
                <w:sz w:val="16"/>
                <w:rtl w:val="1"/>
              </w:rPr>
              <w:t>(عدد الأصول أو البيانات الحساسة المحمية بالتشفير وDLP ÷ إجمالي الأصول أو البيانات الحساسة المستهدفة) × 100</w:t>
            </w:r>
          </w:p>
        </w:tc>
        <w:tc>
          <w:tcPr>
            <w:tcW w:type="dxa" w:w="2340"/>
          </w:tcPr>
          <w:p>
            <w:pPr>
              <w:jc w:val="right"/>
              <w:bidi w:val="1"/>
            </w:pPr>
            <w:r>
              <w:rPr>
                <w:sz w:val="16"/>
                <w:rtl w:val="1"/>
              </w:rPr>
              <w:t>منصة التشفير / DLP / منصة تصنيف البيانات</w:t>
            </w:r>
          </w:p>
        </w:tc>
      </w:tr>
      <w:tr>
        <w:tc>
          <w:tcPr>
            <w:tcW w:type="dxa" w:w="2340"/>
          </w:tcPr>
          <w:p>
            <w:pPr>
              <w:jc w:val="right"/>
              <w:bidi w:val="1"/>
            </w:pPr>
            <w:r>
              <w:rPr>
                <w:sz w:val="16"/>
                <w:rtl w:val="1"/>
              </w:rPr>
              <w:t>7</w:t>
            </w:r>
          </w:p>
        </w:tc>
        <w:tc>
          <w:tcPr>
            <w:tcW w:type="dxa" w:w="2340"/>
          </w:tcPr>
          <w:p>
            <w:pPr>
              <w:jc w:val="right"/>
              <w:bidi w:val="1"/>
            </w:pPr>
            <w:r>
              <w:rPr>
                <w:sz w:val="16"/>
                <w:rtl w:val="1"/>
              </w:rPr>
              <w:t>درجة مخاطر الأطراف الثالثة</w:t>
            </w:r>
          </w:p>
        </w:tc>
        <w:tc>
          <w:tcPr>
            <w:tcW w:type="dxa" w:w="2340"/>
          </w:tcPr>
          <w:p>
            <w:pPr>
              <w:jc w:val="right"/>
              <w:bidi w:val="1"/>
            </w:pPr>
            <w:r>
              <w:rPr>
                <w:sz w:val="16"/>
                <w:rtl w:val="1"/>
              </w:rPr>
              <w:t>(المنجز / المخطط) × 100</w:t>
            </w:r>
          </w:p>
        </w:tc>
        <w:tc>
          <w:tcPr>
            <w:tcW w:type="dxa" w:w="2340"/>
          </w:tcPr>
          <w:p>
            <w:pPr>
              <w:jc w:val="right"/>
              <w:bidi w:val="1"/>
            </w:pPr>
            <w:r>
              <w:rPr>
                <w:sz w:val="16"/>
                <w:rtl w:val="1"/>
              </w:rPr>
              <w:t>مكتب CISO / نظام الحوكمة</w:t>
            </w:r>
          </w:p>
        </w:tc>
      </w:tr>
      <w:tr>
        <w:tc>
          <w:tcPr>
            <w:tcW w:type="dxa" w:w="2340"/>
          </w:tcPr>
          <w:p>
            <w:pPr>
              <w:jc w:val="right"/>
              <w:bidi w:val="1"/>
            </w:pPr>
            <w:r>
              <w:rPr>
                <w:sz w:val="16"/>
                <w:rtl w:val="1"/>
              </w:rPr>
              <w:t>8</w:t>
            </w:r>
          </w:p>
        </w:tc>
        <w:tc>
          <w:tcPr>
            <w:tcW w:type="dxa" w:w="2340"/>
          </w:tcPr>
          <w:p>
            <w:pPr>
              <w:jc w:val="right"/>
              <w:bidi w:val="1"/>
            </w:pPr>
            <w:r>
              <w:rPr>
                <w:sz w:val="16"/>
                <w:rtl w:val="1"/>
              </w:rPr>
              <w:t>نسبة الأصول المُصنّفة وفق ضوابط البيانات</w:t>
            </w:r>
          </w:p>
        </w:tc>
        <w:tc>
          <w:tcPr>
            <w:tcW w:type="dxa" w:w="2340"/>
          </w:tcPr>
          <w:p>
            <w:pPr>
              <w:jc w:val="right"/>
              <w:bidi w:val="1"/>
            </w:pPr>
            <w:r>
              <w:rPr>
                <w:sz w:val="16"/>
                <w:rtl w:val="1"/>
              </w:rPr>
              <w:t>(عدد الضوابط المحققة ÷ إجمالي الضوابط المستهدفة) × 100</w:t>
            </w:r>
          </w:p>
        </w:tc>
        <w:tc>
          <w:tcPr>
            <w:tcW w:type="dxa" w:w="2340"/>
          </w:tcPr>
          <w:p>
            <w:pPr>
              <w:jc w:val="right"/>
              <w:bidi w:val="1"/>
            </w:pPr>
            <w:r>
              <w:rPr>
                <w:sz w:val="16"/>
                <w:rtl w:val="1"/>
              </w:rPr>
              <w:t>منصة الحوكمة وقياس الامتثال</w:t>
            </w:r>
          </w:p>
        </w:tc>
      </w:tr>
      <w:tr>
        <w:tc>
          <w:tcPr>
            <w:tcW w:type="dxa" w:w="2340"/>
          </w:tcPr>
          <w:p>
            <w:pPr>
              <w:jc w:val="right"/>
              <w:bidi w:val="1"/>
            </w:pPr>
            <w:r>
              <w:rPr>
                <w:sz w:val="16"/>
                <w:rtl w:val="1"/>
              </w:rPr>
              <w:t>9</w:t>
            </w:r>
          </w:p>
        </w:tc>
        <w:tc>
          <w:tcPr>
            <w:tcW w:type="dxa" w:w="2340"/>
          </w:tcPr>
          <w:p>
            <w:pPr>
              <w:jc w:val="right"/>
              <w:bidi w:val="1"/>
            </w:pPr>
            <w:r>
              <w:rPr>
                <w:sz w:val="16"/>
                <w:rtl w:val="1"/>
              </w:rPr>
              <w:t>معدل فشل اختبارات التصيد الاحتيالي</w:t>
            </w:r>
          </w:p>
        </w:tc>
        <w:tc>
          <w:tcPr>
            <w:tcW w:type="dxa" w:w="2340"/>
          </w:tcPr>
          <w:p>
            <w:pPr>
              <w:jc w:val="right"/>
              <w:bidi w:val="1"/>
            </w:pPr>
            <w:r>
              <w:rPr>
                <w:sz w:val="16"/>
                <w:rtl w:val="1"/>
              </w:rPr>
              <w:t>(عدد الموظفين الذين فشلوا في اختبار التصيد ÷ إجمالي الموظفين المختبَرين) × 100</w:t>
            </w:r>
          </w:p>
        </w:tc>
        <w:tc>
          <w:tcPr>
            <w:tcW w:type="dxa" w:w="2340"/>
          </w:tcPr>
          <w:p>
            <w:pPr>
              <w:jc w:val="right"/>
              <w:bidi w:val="1"/>
            </w:pPr>
            <w:r>
              <w:rPr>
                <w:sz w:val="16"/>
                <w:rtl w:val="1"/>
              </w:rPr>
              <w:t>منصة محاكاة التصيد</w:t>
            </w:r>
          </w:p>
        </w:tc>
      </w:tr>
      <w:tr>
        <w:tc>
          <w:tcPr>
            <w:tcW w:type="dxa" w:w="2340"/>
          </w:tcPr>
          <w:p>
            <w:pPr>
              <w:jc w:val="right"/>
              <w:bidi w:val="1"/>
            </w:pPr>
            <w:r>
              <w:rPr>
                <w:sz w:val="16"/>
                <w:rtl w:val="1"/>
              </w:rPr>
              <w:t>10</w:t>
            </w:r>
          </w:p>
        </w:tc>
        <w:tc>
          <w:tcPr>
            <w:tcW w:type="dxa" w:w="2340"/>
          </w:tcPr>
          <w:p>
            <w:pPr>
              <w:jc w:val="right"/>
              <w:bidi w:val="1"/>
            </w:pPr>
            <w:r>
              <w:rPr>
                <w:sz w:val="16"/>
                <w:rtl w:val="1"/>
              </w:rPr>
              <w:t>نسبة انعقاد لجنة حوكمة الأمن السيبراني وفق التواتر ال معتمد</w:t>
            </w:r>
          </w:p>
        </w:tc>
        <w:tc>
          <w:tcPr>
            <w:tcW w:type="dxa" w:w="2340"/>
          </w:tcPr>
          <w:p>
            <w:pPr>
              <w:jc w:val="right"/>
              <w:bidi w:val="1"/>
            </w:pPr>
            <w:r>
              <w:rPr>
                <w:sz w:val="16"/>
                <w:rtl w:val="1"/>
              </w:rPr>
              <w:t>(المنجز المقيس ÷ الهدف التشغيلي المعتمد) × 100</w:t>
            </w:r>
          </w:p>
        </w:tc>
        <w:tc>
          <w:tcPr>
            <w:tcW w:type="dxa" w:w="2340"/>
          </w:tcPr>
          <w:p>
            <w:pPr>
              <w:jc w:val="right"/>
              <w:bidi w:val="1"/>
            </w:pPr>
            <w:r>
              <w:rPr>
                <w:sz w:val="16"/>
                <w:rtl w:val="1"/>
              </w:rPr>
              <w:t>مكتب CISO / نظام الحوكمة</w:t>
            </w:r>
          </w:p>
        </w:tc>
      </w:tr>
    </w:tbl>
    <w:p/>
    <w:p>
      <w:r>
        <w:br w:type="page"/>
      </w:r>
    </w:p>
    <w:p>
      <w:pPr>
        <w:spacing w:before="160" w:after="40"/>
        <w:jc w:val="right"/>
        <w:bidi w:val="1"/>
      </w:pPr>
      <w:r>
        <w:rPr>
          <w:b/>
          <w:color w:val="1D2B4F"/>
          <w:sz w:val="28"/>
          <w:rtl w:val="1"/>
        </w:rPr>
        <w:t>تقييم الثقة والمخاطر</w:t>
      </w:r>
    </w:p>
    <w:p>
      <w:pPr>
        <w:pBdr>
          <w:bottom w:val="single" w:sz="12" w:space="2" w:color="D04A02"/>
        </w:pBdr>
        <w:spacing w:after="160"/>
      </w:pPr>
    </w:p>
    <w:p>
      <w:pPr>
        <w:spacing w:after="120"/>
        <w:jc w:val="right"/>
        <w:bidi w:val="1"/>
      </w:pPr>
      <w:r>
        <w:rPr>
          <w:sz w:val="20"/>
          <w:rtl w:val="1"/>
        </w:rPr>
        <w:t>درجة الثقة: 78%</w:t>
      </w:r>
    </w:p>
    <w:p>
      <w:pPr>
        <w:spacing w:after="120"/>
        <w:jc w:val="right"/>
        <w:bidi w:val="1"/>
      </w:pPr>
      <w:r>
        <w:rPr>
          <w:sz w:val="20"/>
          <w:rtl w:val="1"/>
        </w:rPr>
        <w:t>تقع المنظمة في مستوى النضج الأولي (Initial)، مما يعني غياب سياسات موثقة وقابلة للتطبيق وفق متطلبات NCA ECC و NCA DCC، وعدم اكتمال البنية التحتية لعمليات الأمن السيبراني بما فيها مركز العمليات الأمنية (SOC) وآليات الاستجابة للحوادث. تتجلى الفجوات الجوهرية في انعدام برامج إدارة الثغرات الأمنية وضعف منظومة التحكم في الوصول وإدارة الهوية، إلى جانب غياب خطط موثقة لاستمرارية الأعمال والتعافي من الكوارث المرتبطة بالحوادث السيبرانية.</w:t>
      </w: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العامل</w:t>
            </w:r>
          </w:p>
        </w:tc>
        <w:tc>
          <w:tcPr>
            <w:tcW w:type="dxa" w:w="2340"/>
            <w:shd w:val="clear" w:color="auto" w:fill="1D2B4F"/>
          </w:tcPr>
          <w:p>
            <w:pPr>
              <w:jc w:val="right"/>
              <w:bidi w:val="1"/>
            </w:pPr>
            <w:r>
              <w:rPr>
                <w:b/>
                <w:color w:val="FFFFFF"/>
                <w:sz w:val="18"/>
                <w:rtl w:val="1"/>
              </w:rPr>
              <w:t>الوزن</w:t>
            </w:r>
          </w:p>
        </w:tc>
        <w:tc>
          <w:tcPr>
            <w:tcW w:type="dxa" w:w="2340"/>
            <w:shd w:val="clear" w:color="auto" w:fill="1D2B4F"/>
          </w:tcPr>
          <w:p>
            <w:pPr>
              <w:jc w:val="right"/>
              <w:bidi w:val="1"/>
            </w:pPr>
            <w:r>
              <w:rPr>
                <w:b/>
                <w:color w:val="FFFFFF"/>
                <w:sz w:val="18"/>
                <w:rtl w:val="1"/>
              </w:rPr>
              <w:t>الدرجة</w:t>
            </w:r>
          </w:p>
        </w:tc>
        <w:tc>
          <w:tcPr>
            <w:tcW w:type="dxa" w:w="2340"/>
            <w:shd w:val="clear" w:color="auto" w:fill="1D2B4F"/>
          </w:tcPr>
          <w:p>
            <w:pPr>
              <w:jc w:val="right"/>
              <w:bidi w:val="1"/>
            </w:pPr>
            <w:r>
              <w:rPr>
                <w:b/>
                <w:color w:val="FFFFFF"/>
                <w:sz w:val="18"/>
                <w:rtl w:val="1"/>
              </w:rPr>
              <w:t>المساهمة</w:t>
            </w:r>
          </w:p>
        </w:tc>
      </w:tr>
      <w:tr>
        <w:tc>
          <w:tcPr>
            <w:tcW w:type="dxa" w:w="2340"/>
          </w:tcPr>
          <w:p>
            <w:pPr>
              <w:jc w:val="right"/>
              <w:bidi w:val="1"/>
            </w:pPr>
            <w:r>
              <w:rPr>
                <w:sz w:val="16"/>
                <w:rtl w:val="1"/>
              </w:rPr>
              <w:t>اكتمال المدخلات</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15.6%</w:t>
            </w:r>
          </w:p>
        </w:tc>
      </w:tr>
      <w:tr>
        <w:tc>
          <w:tcPr>
            <w:tcW w:type="dxa" w:w="2340"/>
          </w:tcPr>
          <w:p>
            <w:pPr>
              <w:jc w:val="right"/>
              <w:bidi w:val="1"/>
            </w:pPr>
            <w:r>
              <w:rPr>
                <w:sz w:val="16"/>
                <w:rtl w:val="1"/>
              </w:rPr>
              <w:t>تغطية الأطر المرجعية</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15.6%</w:t>
            </w:r>
          </w:p>
        </w:tc>
      </w:tr>
      <w:tr>
        <w:tc>
          <w:tcPr>
            <w:tcW w:type="dxa" w:w="2340"/>
          </w:tcPr>
          <w:p>
            <w:pPr>
              <w:jc w:val="right"/>
              <w:bidi w:val="1"/>
            </w:pPr>
            <w:r>
              <w:rPr>
                <w:sz w:val="16"/>
                <w:rtl w:val="1"/>
              </w:rPr>
              <w:t>جدوى خارطة الطريق</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15.6%</w:t>
            </w:r>
          </w:p>
        </w:tc>
      </w:tr>
      <w:tr>
        <w:tc>
          <w:tcPr>
            <w:tcW w:type="dxa" w:w="2340"/>
          </w:tcPr>
          <w:p>
            <w:pPr>
              <w:jc w:val="right"/>
              <w:bidi w:val="1"/>
            </w:pPr>
            <w:r>
              <w:rPr>
                <w:sz w:val="16"/>
                <w:rtl w:val="1"/>
              </w:rPr>
              <w:t>جاهزية الموارد</w:t>
            </w:r>
          </w:p>
        </w:tc>
        <w:tc>
          <w:tcPr>
            <w:tcW w:type="dxa" w:w="2340"/>
          </w:tcPr>
          <w:p>
            <w:pPr>
              <w:jc w:val="right"/>
              <w:bidi w:val="1"/>
            </w:pPr>
            <w:r>
              <w:rPr>
                <w:sz w:val="16"/>
                <w:rtl w:val="1"/>
              </w:rPr>
              <w:t>15%</w:t>
            </w:r>
          </w:p>
        </w:tc>
        <w:tc>
          <w:tcPr>
            <w:tcW w:type="dxa" w:w="2340"/>
          </w:tcPr>
          <w:p>
            <w:pPr>
              <w:jc w:val="right"/>
              <w:bidi w:val="1"/>
            </w:pPr>
            <w:r>
              <w:rPr>
                <w:sz w:val="16"/>
                <w:rtl w:val="1"/>
              </w:rPr>
              <w:t>4</w:t>
            </w:r>
          </w:p>
        </w:tc>
        <w:tc>
          <w:tcPr>
            <w:tcW w:type="dxa" w:w="2340"/>
          </w:tcPr>
          <w:p>
            <w:pPr>
              <w:jc w:val="right"/>
              <w:bidi w:val="1"/>
            </w:pPr>
            <w:r>
              <w:rPr>
                <w:sz w:val="16"/>
                <w:rtl w:val="1"/>
              </w:rPr>
              <w:t>11.7%</w:t>
            </w:r>
          </w:p>
        </w:tc>
      </w:tr>
      <w:tr>
        <w:tc>
          <w:tcPr>
            <w:tcW w:type="dxa" w:w="2340"/>
          </w:tcPr>
          <w:p>
            <w:pPr>
              <w:jc w:val="right"/>
              <w:bidi w:val="1"/>
            </w:pPr>
            <w:r>
              <w:rPr>
                <w:sz w:val="16"/>
                <w:rtl w:val="1"/>
              </w:rPr>
              <w:t>نضج الحوكمة</w:t>
            </w:r>
          </w:p>
        </w:tc>
        <w:tc>
          <w:tcPr>
            <w:tcW w:type="dxa" w:w="2340"/>
          </w:tcPr>
          <w:p>
            <w:pPr>
              <w:jc w:val="right"/>
              <w:bidi w:val="1"/>
            </w:pPr>
            <w:r>
              <w:rPr>
                <w:sz w:val="16"/>
                <w:rtl w:val="1"/>
              </w:rPr>
              <w:t>15%</w:t>
            </w:r>
          </w:p>
        </w:tc>
        <w:tc>
          <w:tcPr>
            <w:tcW w:type="dxa" w:w="2340"/>
          </w:tcPr>
          <w:p>
            <w:pPr>
              <w:jc w:val="right"/>
              <w:bidi w:val="1"/>
            </w:pPr>
            <w:r>
              <w:rPr>
                <w:sz w:val="16"/>
                <w:rtl w:val="1"/>
              </w:rPr>
              <w:t>4</w:t>
            </w:r>
          </w:p>
        </w:tc>
        <w:tc>
          <w:tcPr>
            <w:tcW w:type="dxa" w:w="2340"/>
          </w:tcPr>
          <w:p>
            <w:pPr>
              <w:jc w:val="right"/>
              <w:bidi w:val="1"/>
            </w:pPr>
            <w:r>
              <w:rPr>
                <w:sz w:val="16"/>
                <w:rtl w:val="1"/>
              </w:rPr>
              <w:t>11.7%</w:t>
            </w:r>
          </w:p>
        </w:tc>
      </w:tr>
      <w:tr>
        <w:tc>
          <w:tcPr>
            <w:tcW w:type="dxa" w:w="2340"/>
          </w:tcPr>
          <w:p>
            <w:pPr>
              <w:jc w:val="right"/>
              <w:bidi w:val="1"/>
            </w:pPr>
            <w:r>
              <w:rPr>
                <w:sz w:val="16"/>
                <w:rtl w:val="1"/>
              </w:rPr>
              <w:t>جاهزية حماية البيانات</w:t>
            </w:r>
          </w:p>
        </w:tc>
        <w:tc>
          <w:tcPr>
            <w:tcW w:type="dxa" w:w="2340"/>
          </w:tcPr>
          <w:p>
            <w:pPr>
              <w:jc w:val="right"/>
              <w:bidi w:val="1"/>
            </w:pPr>
            <w:r>
              <w:rPr>
                <w:sz w:val="16"/>
                <w:rtl w:val="1"/>
              </w:rPr>
              <w:t>10%</w:t>
            </w:r>
          </w:p>
        </w:tc>
        <w:tc>
          <w:tcPr>
            <w:tcW w:type="dxa" w:w="2340"/>
          </w:tcPr>
          <w:p>
            <w:pPr>
              <w:jc w:val="right"/>
              <w:bidi w:val="1"/>
            </w:pPr>
            <w:r>
              <w:rPr>
                <w:sz w:val="16"/>
                <w:rtl w:val="1"/>
              </w:rPr>
              <w:t>4</w:t>
            </w:r>
          </w:p>
        </w:tc>
        <w:tc>
          <w:tcPr>
            <w:tcW w:type="dxa" w:w="2340"/>
          </w:tcPr>
          <w:p>
            <w:pPr>
              <w:jc w:val="right"/>
              <w:bidi w:val="1"/>
            </w:pPr>
            <w:r>
              <w:rPr>
                <w:sz w:val="16"/>
                <w:rtl w:val="1"/>
              </w:rPr>
              <w:t>7.8%</w:t>
            </w:r>
          </w:p>
        </w:tc>
      </w:tr>
    </w:tbl>
    <w:p/>
    <w:tbl>
      <w:tblPr>
        <w:tblW w:type="auto" w:w="0"/>
        <w:jc w:val="right"/>
        <w:tblLook w:firstColumn="1" w:firstRow="1" w:lastColumn="0" w:lastRow="0" w:noHBand="0" w:noVBand="1" w:val="04A0"/>
      </w:tblPr>
      <w:tblGrid>
        <w:gridCol w:w="1560"/>
        <w:gridCol w:w="1560"/>
        <w:gridCol w:w="1560"/>
        <w:gridCol w:w="1560"/>
        <w:gridCol w:w="1560"/>
        <w:gridCol w:w="1560"/>
      </w:tblGrid>
      <w:tr>
        <w:tc>
          <w:tcPr>
            <w:tcW w:type="dxa" w:w="1560"/>
            <w:shd w:val="clear" w:color="auto" w:fill="1D2B4F"/>
          </w:tcPr>
          <w:p>
            <w:pPr>
              <w:jc w:val="right"/>
              <w:bidi w:val="1"/>
            </w:pPr>
            <w:r>
              <w:rPr>
                <w:b/>
                <w:color w:val="FFFFFF"/>
                <w:sz w:val="18"/>
                <w:rtl w:val="1"/>
              </w:rPr>
              <w:t>#</w:t>
            </w:r>
          </w:p>
        </w:tc>
        <w:tc>
          <w:tcPr>
            <w:tcW w:type="dxa" w:w="1560"/>
            <w:shd w:val="clear" w:color="auto" w:fill="1D2B4F"/>
          </w:tcPr>
          <w:p>
            <w:pPr>
              <w:jc w:val="right"/>
              <w:bidi w:val="1"/>
            </w:pPr>
            <w:r>
              <w:rPr>
                <w:b/>
                <w:color w:val="FFFFFF"/>
                <w:sz w:val="18"/>
                <w:rtl w:val="1"/>
              </w:rPr>
              <w:t>المخاطر</w:t>
            </w:r>
          </w:p>
        </w:tc>
        <w:tc>
          <w:tcPr>
            <w:tcW w:type="dxa" w:w="1560"/>
            <w:shd w:val="clear" w:color="auto" w:fill="1D2B4F"/>
          </w:tcPr>
          <w:p>
            <w:pPr>
              <w:jc w:val="right"/>
              <w:bidi w:val="1"/>
            </w:pPr>
            <w:r>
              <w:rPr>
                <w:b/>
                <w:color w:val="FFFFFF"/>
                <w:sz w:val="18"/>
                <w:rtl w:val="1"/>
              </w:rPr>
              <w:t>الاحتمالية</w:t>
            </w:r>
          </w:p>
        </w:tc>
        <w:tc>
          <w:tcPr>
            <w:tcW w:type="dxa" w:w="1560"/>
            <w:shd w:val="clear" w:color="auto" w:fill="1D2B4F"/>
          </w:tcPr>
          <w:p>
            <w:pPr>
              <w:jc w:val="right"/>
              <w:bidi w:val="1"/>
            </w:pPr>
            <w:r>
              <w:rPr>
                <w:b/>
                <w:color w:val="FFFFFF"/>
                <w:sz w:val="18"/>
                <w:rtl w:val="1"/>
              </w:rPr>
              <w:t>التأثير</w:t>
            </w:r>
          </w:p>
        </w:tc>
        <w:tc>
          <w:tcPr>
            <w:tcW w:type="dxa" w:w="1560"/>
            <w:shd w:val="clear" w:color="auto" w:fill="1D2B4F"/>
          </w:tcPr>
          <w:p>
            <w:pPr>
              <w:jc w:val="right"/>
              <w:bidi w:val="1"/>
            </w:pPr>
            <w:r>
              <w:rPr>
                <w:b/>
                <w:color w:val="FFFFFF"/>
                <w:sz w:val="18"/>
                <w:rtl w:val="1"/>
              </w:rPr>
              <w:t>خطة المعالجة</w:t>
            </w:r>
          </w:p>
        </w:tc>
        <w:tc>
          <w:tcPr>
            <w:tcW w:type="dxa" w:w="1560"/>
            <w:shd w:val="clear" w:color="auto" w:fill="1D2B4F"/>
          </w:tcPr>
          <w:p>
            <w:pPr>
              <w:jc w:val="right"/>
              <w:bidi w:val="1"/>
            </w:pPr>
            <w:r>
              <w:rPr>
                <w:b/>
                <w:color w:val="FFFFFF"/>
                <w:sz w:val="18"/>
                <w:rtl w:val="1"/>
              </w:rPr>
              <w:t>المالك</w:t>
            </w:r>
          </w:p>
        </w:tc>
      </w:tr>
      <w:tr>
        <w:tc>
          <w:tcPr>
            <w:tcW w:type="dxa" w:w="1560"/>
          </w:tcPr>
          <w:p>
            <w:pPr>
              <w:jc w:val="right"/>
              <w:bidi w:val="1"/>
            </w:pPr>
            <w:r>
              <w:rPr>
                <w:sz w:val="16"/>
                <w:rtl w:val="1"/>
              </w:rPr>
              <w:t>1</w:t>
            </w:r>
          </w:p>
        </w:tc>
        <w:tc>
          <w:tcPr>
            <w:tcW w:type="dxa" w:w="1560"/>
          </w:tcPr>
          <w:p>
            <w:pPr>
              <w:jc w:val="right"/>
              <w:bidi w:val="1"/>
            </w:pPr>
            <w:r>
              <w:rPr>
                <w:sz w:val="16"/>
                <w:rtl w:val="1"/>
              </w:rPr>
              <w:t>غياب سياسة موثقة للاستجابة للحوادث مما يُطيل فترة الاحتواء</w:t>
            </w:r>
          </w:p>
        </w:tc>
        <w:tc>
          <w:tcPr>
            <w:tcW w:type="dxa" w:w="1560"/>
          </w:tcPr>
          <w:p>
            <w:pPr>
              <w:jc w:val="right"/>
              <w:bidi w:val="1"/>
            </w:pPr>
            <w:r>
              <w:rPr>
                <w:sz w:val="16"/>
                <w:rtl w:val="1"/>
              </w:rPr>
              <w:t>عالية</w:t>
            </w:r>
          </w:p>
        </w:tc>
        <w:tc>
          <w:tcPr>
            <w:tcW w:type="dxa" w:w="1560"/>
          </w:tcPr>
          <w:p>
            <w:pPr>
              <w:jc w:val="right"/>
              <w:bidi w:val="1"/>
            </w:pPr>
            <w:r>
              <w:rPr>
                <w:sz w:val="16"/>
                <w:rtl w:val="1"/>
              </w:rPr>
              <w:t>حرج</w:t>
            </w:r>
          </w:p>
        </w:tc>
        <w:tc>
          <w:tcPr>
            <w:tcW w:type="dxa" w:w="1560"/>
          </w:tcPr>
          <w:p>
            <w:pPr>
              <w:jc w:val="right"/>
              <w:bidi w:val="1"/>
            </w:pPr>
            <w:r>
              <w:rPr>
                <w:sz w:val="16"/>
                <w:rtl w:val="1"/>
              </w:rPr>
              <w:t>—</w:t>
            </w:r>
          </w:p>
        </w:tc>
        <w:tc>
          <w:tcPr>
            <w:tcW w:type="dxa" w:w="1560"/>
          </w:tcPr>
          <w:p>
            <w:pPr>
              <w:jc w:val="right"/>
              <w:bidi w:val="1"/>
            </w:pPr>
            <w:r>
              <w:rPr>
                <w:sz w:val="16"/>
                <w:rtl w:val="1"/>
              </w:rPr>
              <w:t>CISO</w:t>
            </w:r>
          </w:p>
        </w:tc>
      </w:tr>
      <w:tr>
        <w:tc>
          <w:tcPr>
            <w:tcW w:type="dxa" w:w="1560"/>
          </w:tcPr>
          <w:p>
            <w:pPr>
              <w:jc w:val="right"/>
              <w:bidi w:val="1"/>
            </w:pPr>
            <w:r>
              <w:rPr>
                <w:sz w:val="16"/>
                <w:rtl w:val="1"/>
              </w:rPr>
              <w:t>2</w:t>
            </w:r>
          </w:p>
        </w:tc>
        <w:tc>
          <w:tcPr>
            <w:tcW w:type="dxa" w:w="1560"/>
          </w:tcPr>
          <w:p>
            <w:pPr>
              <w:jc w:val="right"/>
              <w:bidi w:val="1"/>
            </w:pPr>
            <w:r>
              <w:rPr>
                <w:sz w:val="16"/>
                <w:rtl w:val="1"/>
              </w:rPr>
              <w:t>استغلال الثغرات الصفرية في الأنظمة غير المُحدَّثة</w:t>
            </w:r>
          </w:p>
        </w:tc>
        <w:tc>
          <w:tcPr>
            <w:tcW w:type="dxa" w:w="1560"/>
          </w:tcPr>
          <w:p>
            <w:pPr>
              <w:jc w:val="right"/>
              <w:bidi w:val="1"/>
            </w:pPr>
            <w:r>
              <w:rPr>
                <w:sz w:val="16"/>
                <w:rtl w:val="1"/>
              </w:rPr>
              <w:t>عالية</w:t>
            </w:r>
          </w:p>
        </w:tc>
        <w:tc>
          <w:tcPr>
            <w:tcW w:type="dxa" w:w="1560"/>
          </w:tcPr>
          <w:p>
            <w:pPr>
              <w:jc w:val="right"/>
              <w:bidi w:val="1"/>
            </w:pPr>
            <w:r>
              <w:rPr>
                <w:sz w:val="16"/>
                <w:rtl w:val="1"/>
              </w:rPr>
              <w:t>حرج</w:t>
            </w:r>
          </w:p>
        </w:tc>
        <w:tc>
          <w:tcPr>
            <w:tcW w:type="dxa" w:w="1560"/>
          </w:tcPr>
          <w:p>
            <w:pPr>
              <w:jc w:val="right"/>
              <w:bidi w:val="1"/>
            </w:pPr>
            <w:r>
              <w:rPr>
                <w:sz w:val="16"/>
                <w:rtl w:val="1"/>
              </w:rPr>
              <w:t>—</w:t>
            </w:r>
          </w:p>
        </w:tc>
        <w:tc>
          <w:tcPr>
            <w:tcW w:type="dxa" w:w="1560"/>
          </w:tcPr>
          <w:p>
            <w:pPr>
              <w:jc w:val="right"/>
              <w:bidi w:val="1"/>
            </w:pPr>
            <w:r>
              <w:rPr>
                <w:sz w:val="16"/>
                <w:rtl w:val="1"/>
              </w:rPr>
              <w:t>مدير مركز العمليات الأمنية SOC</w:t>
            </w:r>
          </w:p>
        </w:tc>
      </w:tr>
      <w:tr>
        <w:tc>
          <w:tcPr>
            <w:tcW w:type="dxa" w:w="1560"/>
          </w:tcPr>
          <w:p>
            <w:pPr>
              <w:jc w:val="right"/>
              <w:bidi w:val="1"/>
            </w:pPr>
            <w:r>
              <w:rPr>
                <w:sz w:val="16"/>
                <w:rtl w:val="1"/>
              </w:rPr>
              <w:t>3</w:t>
            </w:r>
          </w:p>
        </w:tc>
        <w:tc>
          <w:tcPr>
            <w:tcW w:type="dxa" w:w="1560"/>
          </w:tcPr>
          <w:p>
            <w:pPr>
              <w:jc w:val="right"/>
              <w:bidi w:val="1"/>
            </w:pPr>
            <w:r>
              <w:rPr>
                <w:sz w:val="16"/>
                <w:rtl w:val="1"/>
              </w:rPr>
              <w:t>اختراق البيانات عبر هجمات التصيد الاحتيالي نتيجة ضعف الوعي</w:t>
            </w:r>
          </w:p>
        </w:tc>
        <w:tc>
          <w:tcPr>
            <w:tcW w:type="dxa" w:w="1560"/>
          </w:tcPr>
          <w:p>
            <w:pPr>
              <w:jc w:val="right"/>
              <w:bidi w:val="1"/>
            </w:pPr>
            <w:r>
              <w:rPr>
                <w:sz w:val="16"/>
                <w:rtl w:val="1"/>
              </w:rPr>
              <w:t>عالية</w:t>
            </w:r>
          </w:p>
        </w:tc>
        <w:tc>
          <w:tcPr>
            <w:tcW w:type="dxa" w:w="1560"/>
          </w:tcPr>
          <w:p>
            <w:pPr>
              <w:jc w:val="right"/>
              <w:bidi w:val="1"/>
            </w:pPr>
            <w:r>
              <w:rPr>
                <w:sz w:val="16"/>
                <w:rtl w:val="1"/>
              </w:rPr>
              <w:t>عالٍ</w:t>
            </w:r>
          </w:p>
        </w:tc>
        <w:tc>
          <w:tcPr>
            <w:tcW w:type="dxa" w:w="1560"/>
          </w:tcPr>
          <w:p>
            <w:pPr>
              <w:jc w:val="right"/>
              <w:bidi w:val="1"/>
            </w:pPr>
            <w:r>
              <w:rPr>
                <w:sz w:val="16"/>
                <w:rtl w:val="1"/>
              </w:rPr>
              <w:t>—</w:t>
            </w:r>
          </w:p>
        </w:tc>
        <w:tc>
          <w:tcPr>
            <w:tcW w:type="dxa" w:w="1560"/>
          </w:tcPr>
          <w:p>
            <w:pPr>
              <w:jc w:val="right"/>
              <w:bidi w:val="1"/>
            </w:pPr>
            <w:r>
              <w:rPr>
                <w:sz w:val="16"/>
                <w:rtl w:val="1"/>
              </w:rPr>
              <w:t>قائد حوكمة الأمن السيبراني</w:t>
            </w:r>
          </w:p>
        </w:tc>
      </w:tr>
      <w:tr>
        <w:tc>
          <w:tcPr>
            <w:tcW w:type="dxa" w:w="1560"/>
          </w:tcPr>
          <w:p>
            <w:pPr>
              <w:jc w:val="right"/>
              <w:bidi w:val="1"/>
            </w:pPr>
            <w:r>
              <w:rPr>
                <w:sz w:val="16"/>
                <w:rtl w:val="1"/>
              </w:rPr>
              <w:t>4</w:t>
            </w:r>
          </w:p>
        </w:tc>
        <w:tc>
          <w:tcPr>
            <w:tcW w:type="dxa" w:w="1560"/>
          </w:tcPr>
          <w:p>
            <w:pPr>
              <w:jc w:val="right"/>
              <w:bidi w:val="1"/>
            </w:pPr>
            <w:r>
              <w:rPr>
                <w:sz w:val="16"/>
                <w:rtl w:val="1"/>
              </w:rPr>
              <w:t>انتشار برمجيات الفدية عبر الشبكة الداخلية لغياب التجزئة</w:t>
            </w:r>
          </w:p>
        </w:tc>
        <w:tc>
          <w:tcPr>
            <w:tcW w:type="dxa" w:w="1560"/>
          </w:tcPr>
          <w:p>
            <w:pPr>
              <w:jc w:val="right"/>
              <w:bidi w:val="1"/>
            </w:pPr>
            <w:r>
              <w:rPr>
                <w:sz w:val="16"/>
                <w:rtl w:val="1"/>
              </w:rPr>
              <w:t>متوسطة</w:t>
            </w:r>
          </w:p>
        </w:tc>
        <w:tc>
          <w:tcPr>
            <w:tcW w:type="dxa" w:w="1560"/>
          </w:tcPr>
          <w:p>
            <w:pPr>
              <w:jc w:val="right"/>
              <w:bidi w:val="1"/>
            </w:pPr>
            <w:r>
              <w:rPr>
                <w:sz w:val="16"/>
                <w:rtl w:val="1"/>
              </w:rPr>
              <w:t>حرج</w:t>
            </w:r>
          </w:p>
        </w:tc>
        <w:tc>
          <w:tcPr>
            <w:tcW w:type="dxa" w:w="1560"/>
          </w:tcPr>
          <w:p>
            <w:pPr>
              <w:jc w:val="right"/>
              <w:bidi w:val="1"/>
            </w:pPr>
            <w:r>
              <w:rPr>
                <w:sz w:val="16"/>
                <w:rtl w:val="1"/>
              </w:rPr>
              <w:t>—</w:t>
            </w:r>
          </w:p>
        </w:tc>
        <w:tc>
          <w:tcPr>
            <w:tcW w:type="dxa" w:w="1560"/>
          </w:tcPr>
          <w:p>
            <w:pPr>
              <w:jc w:val="right"/>
              <w:bidi w:val="1"/>
            </w:pPr>
            <w:r>
              <w:rPr>
                <w:sz w:val="16"/>
                <w:rtl w:val="1"/>
              </w:rPr>
              <w:t>مدير مركز العمليات الأمنية SOC</w:t>
            </w:r>
          </w:p>
        </w:tc>
      </w:tr>
      <w:tr>
        <w:tc>
          <w:tcPr>
            <w:tcW w:type="dxa" w:w="1560"/>
          </w:tcPr>
          <w:p>
            <w:pPr>
              <w:jc w:val="right"/>
              <w:bidi w:val="1"/>
            </w:pPr>
            <w:r>
              <w:rPr>
                <w:sz w:val="16"/>
                <w:rtl w:val="1"/>
              </w:rPr>
              <w:t>5</w:t>
            </w:r>
          </w:p>
        </w:tc>
        <w:tc>
          <w:tcPr>
            <w:tcW w:type="dxa" w:w="1560"/>
          </w:tcPr>
          <w:p>
            <w:pPr>
              <w:jc w:val="right"/>
              <w:bidi w:val="1"/>
            </w:pPr>
            <w:r>
              <w:rPr>
                <w:sz w:val="16"/>
                <w:rtl w:val="1"/>
              </w:rPr>
              <w:t>مخاطر الأمن السيبراني لدى الأطراف الثالثة دون تقييم رسمي</w:t>
            </w:r>
          </w:p>
        </w:tc>
        <w:tc>
          <w:tcPr>
            <w:tcW w:type="dxa" w:w="1560"/>
          </w:tcPr>
          <w:p>
            <w:pPr>
              <w:jc w:val="right"/>
              <w:bidi w:val="1"/>
            </w:pPr>
            <w:r>
              <w:rPr>
                <w:sz w:val="16"/>
                <w:rtl w:val="1"/>
              </w:rPr>
              <w:t>متوسطة</w:t>
            </w:r>
          </w:p>
        </w:tc>
        <w:tc>
          <w:tcPr>
            <w:tcW w:type="dxa" w:w="1560"/>
          </w:tcPr>
          <w:p>
            <w:pPr>
              <w:jc w:val="right"/>
              <w:bidi w:val="1"/>
            </w:pPr>
            <w:r>
              <w:rPr>
                <w:sz w:val="16"/>
                <w:rtl w:val="1"/>
              </w:rPr>
              <w:t>عالٍ</w:t>
            </w:r>
          </w:p>
        </w:tc>
        <w:tc>
          <w:tcPr>
            <w:tcW w:type="dxa" w:w="1560"/>
          </w:tcPr>
          <w:p>
            <w:pPr>
              <w:jc w:val="right"/>
              <w:bidi w:val="1"/>
            </w:pPr>
            <w:r>
              <w:rPr>
                <w:sz w:val="16"/>
                <w:rtl w:val="1"/>
              </w:rPr>
              <w:t>—</w:t>
            </w:r>
          </w:p>
        </w:tc>
        <w:tc>
          <w:tcPr>
            <w:tcW w:type="dxa" w:w="1560"/>
          </w:tcPr>
          <w:p>
            <w:pPr>
              <w:jc w:val="right"/>
              <w:bidi w:val="1"/>
            </w:pPr>
            <w:r>
              <w:rPr>
                <w:sz w:val="16"/>
                <w:rtl w:val="1"/>
              </w:rPr>
              <w:t>قائد حوكمة الأمن السيبراني</w:t>
            </w:r>
          </w:p>
        </w:tc>
      </w:tr>
      <w:tr>
        <w:tc>
          <w:tcPr>
            <w:tcW w:type="dxa" w:w="1560"/>
          </w:tcPr>
          <w:p>
            <w:pPr>
              <w:jc w:val="right"/>
              <w:bidi w:val="1"/>
            </w:pPr>
            <w:r>
              <w:rPr>
                <w:sz w:val="16"/>
                <w:rtl w:val="1"/>
              </w:rPr>
              <w:t>6</w:t>
            </w:r>
          </w:p>
        </w:tc>
        <w:tc>
          <w:tcPr>
            <w:tcW w:type="dxa" w:w="1560"/>
          </w:tcPr>
          <w:p>
            <w:pPr>
              <w:jc w:val="right"/>
              <w:bidi w:val="1"/>
            </w:pPr>
            <w:r>
              <w:rPr>
                <w:sz w:val="16"/>
                <w:rtl w:val="1"/>
              </w:rPr>
              <w:t>ضعف التحكم في الوصول يُتيح امتيازات زائدة للمستخدمين</w:t>
            </w:r>
          </w:p>
        </w:tc>
        <w:tc>
          <w:tcPr>
            <w:tcW w:type="dxa" w:w="1560"/>
          </w:tcPr>
          <w:p>
            <w:pPr>
              <w:jc w:val="right"/>
              <w:bidi w:val="1"/>
            </w:pPr>
            <w:r>
              <w:rPr>
                <w:sz w:val="16"/>
                <w:rtl w:val="1"/>
              </w:rPr>
              <w:t>عالية</w:t>
            </w:r>
          </w:p>
        </w:tc>
        <w:tc>
          <w:tcPr>
            <w:tcW w:type="dxa" w:w="1560"/>
          </w:tcPr>
          <w:p>
            <w:pPr>
              <w:jc w:val="right"/>
              <w:bidi w:val="1"/>
            </w:pPr>
            <w:r>
              <w:rPr>
                <w:sz w:val="16"/>
                <w:rtl w:val="1"/>
              </w:rPr>
              <w:t>عالٍ</w:t>
            </w:r>
          </w:p>
        </w:tc>
        <w:tc>
          <w:tcPr>
            <w:tcW w:type="dxa" w:w="1560"/>
          </w:tcPr>
          <w:p>
            <w:pPr>
              <w:jc w:val="right"/>
              <w:bidi w:val="1"/>
            </w:pPr>
            <w:r>
              <w:rPr>
                <w:sz w:val="16"/>
                <w:rtl w:val="1"/>
              </w:rPr>
              <w:t>—</w:t>
            </w:r>
          </w:p>
        </w:tc>
        <w:tc>
          <w:tcPr>
            <w:tcW w:type="dxa" w:w="1560"/>
          </w:tcPr>
          <w:p>
            <w:pPr>
              <w:jc w:val="right"/>
              <w:bidi w:val="1"/>
            </w:pPr>
            <w:r>
              <w:rPr>
                <w:sz w:val="16"/>
                <w:rtl w:val="1"/>
              </w:rPr>
              <w:t>رئيس وحدة إدارة الهوية والوصول</w:t>
            </w:r>
          </w:p>
        </w:tc>
      </w:tr>
    </w:tbl>
    <w:p/>
    <w:p>
      <w:r>
        <w:br w:type="page"/>
      </w:r>
    </w:p>
    <w:p>
      <w:pPr>
        <w:spacing w:before="160" w:after="40"/>
        <w:jc w:val="right"/>
        <w:bidi w:val="1"/>
      </w:pPr>
      <w:r>
        <w:rPr>
          <w:b/>
          <w:color w:val="1D2B4F"/>
          <w:sz w:val="28"/>
          <w:rtl w:val="1"/>
        </w:rPr>
        <w:t>نموذج الحوكمة والمسؤوليات</w:t>
      </w:r>
    </w:p>
    <w:p>
      <w:pPr>
        <w:pBdr>
          <w:bottom w:val="single" w:sz="12" w:space="2" w:color="D04A02"/>
        </w:pBdr>
        <w:spacing w:after="160"/>
      </w:pP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الدور</w:t>
            </w:r>
          </w:p>
        </w:tc>
        <w:tc>
          <w:tcPr>
            <w:tcW w:type="dxa" w:w="1872"/>
            <w:shd w:val="clear" w:color="auto" w:fill="1D2B4F"/>
          </w:tcPr>
          <w:p>
            <w:pPr>
              <w:jc w:val="right"/>
              <w:bidi w:val="1"/>
            </w:pPr>
            <w:r>
              <w:rPr>
                <w:b/>
                <w:color w:val="FFFFFF"/>
                <w:sz w:val="18"/>
                <w:rtl w:val="1"/>
              </w:rPr>
              <w:t>نطاق المسؤولية</w:t>
            </w:r>
          </w:p>
        </w:tc>
        <w:tc>
          <w:tcPr>
            <w:tcW w:type="dxa" w:w="1872"/>
            <w:shd w:val="clear" w:color="auto" w:fill="1D2B4F"/>
          </w:tcPr>
          <w:p>
            <w:pPr>
              <w:jc w:val="right"/>
              <w:bidi w:val="1"/>
            </w:pPr>
            <w:r>
              <w:rPr>
                <w:b/>
                <w:color w:val="FFFFFF"/>
                <w:sz w:val="18"/>
                <w:rtl w:val="1"/>
              </w:rPr>
              <w:t>المساءلة</w:t>
            </w:r>
          </w:p>
        </w:tc>
        <w:tc>
          <w:tcPr>
            <w:tcW w:type="dxa" w:w="1872"/>
            <w:shd w:val="clear" w:color="auto" w:fill="1D2B4F"/>
          </w:tcPr>
          <w:p>
            <w:pPr>
              <w:jc w:val="right"/>
              <w:bidi w:val="1"/>
            </w:pPr>
            <w:r>
              <w:rPr>
                <w:b/>
                <w:color w:val="FFFFFF"/>
                <w:sz w:val="18"/>
                <w:rtl w:val="1"/>
              </w:rPr>
              <w:t>التقارير / التصعيد</w:t>
            </w:r>
          </w:p>
        </w:tc>
        <w:tc>
          <w:tcPr>
            <w:tcW w:type="dxa" w:w="1872"/>
            <w:shd w:val="clear" w:color="auto" w:fill="1D2B4F"/>
          </w:tcPr>
          <w:p>
            <w:pPr>
              <w:jc w:val="right"/>
              <w:bidi w:val="1"/>
            </w:pPr>
            <w:r>
              <w:rPr>
                <w:b/>
                <w:color w:val="FFFFFF"/>
                <w:sz w:val="18"/>
                <w:rtl w:val="1"/>
              </w:rPr>
              <w:t>الإطار المرتبط</w:t>
            </w:r>
          </w:p>
        </w:tc>
      </w:tr>
      <w:tr>
        <w:tc>
          <w:tcPr>
            <w:tcW w:type="dxa" w:w="1872"/>
          </w:tcPr>
          <w:p>
            <w:pPr>
              <w:jc w:val="right"/>
              <w:bidi w:val="1"/>
            </w:pPr>
            <w:r>
              <w:rPr>
                <w:sz w:val="16"/>
                <w:rtl w:val="1"/>
              </w:rPr>
              <w:t>اللجنة التوجيهية للأمن السيبراني</w:t>
            </w:r>
          </w:p>
        </w:tc>
        <w:tc>
          <w:tcPr>
            <w:tcW w:type="dxa" w:w="1872"/>
          </w:tcPr>
          <w:p>
            <w:pPr>
              <w:jc w:val="right"/>
              <w:bidi w:val="1"/>
            </w:pPr>
            <w:r>
              <w:rPr>
                <w:sz w:val="16"/>
                <w:rtl w:val="1"/>
              </w:rPr>
              <w:t>اعتماد استراتيجية الأمن السيبراني والإشراف على تنفيذها</w:t>
            </w:r>
          </w:p>
        </w:tc>
        <w:tc>
          <w:tcPr>
            <w:tcW w:type="dxa" w:w="1872"/>
          </w:tcPr>
          <w:p>
            <w:pPr>
              <w:jc w:val="right"/>
              <w:bidi w:val="1"/>
            </w:pPr>
            <w:r>
              <w:rPr>
                <w:sz w:val="16"/>
                <w:rtl w:val="1"/>
              </w:rPr>
              <w:t>مساءَلة عن التوجه الاستراتيجي واعتماد السياسات والميزانيات</w:t>
            </w:r>
          </w:p>
        </w:tc>
        <w:tc>
          <w:tcPr>
            <w:tcW w:type="dxa" w:w="1872"/>
          </w:tcPr>
          <w:p>
            <w:pPr>
              <w:jc w:val="right"/>
              <w:bidi w:val="1"/>
            </w:pPr>
            <w:r>
              <w:rPr>
                <w:sz w:val="16"/>
                <w:rtl w:val="1"/>
              </w:rPr>
              <w:t>ترفع تقاريرها إلى الإدارة العليا ومجلس الإدارة</w:t>
            </w:r>
          </w:p>
        </w:tc>
        <w:tc>
          <w:tcPr>
            <w:tcW w:type="dxa" w:w="1872"/>
          </w:tcPr>
          <w:p>
            <w:pPr>
              <w:jc w:val="right"/>
              <w:bidi w:val="1"/>
            </w:pPr>
            <w:r>
              <w:rPr>
                <w:sz w:val="16"/>
                <w:rtl w:val="1"/>
              </w:rPr>
              <w:t>NCA ECC / NCA DCC</w:t>
            </w:r>
          </w:p>
        </w:tc>
      </w:tr>
      <w:tr>
        <w:tc>
          <w:tcPr>
            <w:tcW w:type="dxa" w:w="1872"/>
          </w:tcPr>
          <w:p>
            <w:pPr>
              <w:jc w:val="right"/>
              <w:bidi w:val="1"/>
            </w:pPr>
            <w:r>
              <w:rPr>
                <w:sz w:val="16"/>
                <w:rtl w:val="1"/>
              </w:rPr>
              <w:t>رئيس الأمن السيبراني CISO</w:t>
            </w:r>
          </w:p>
        </w:tc>
        <w:tc>
          <w:tcPr>
            <w:tcW w:type="dxa" w:w="1872"/>
          </w:tcPr>
          <w:p>
            <w:pPr>
              <w:jc w:val="right"/>
              <w:bidi w:val="1"/>
            </w:pPr>
            <w:r>
              <w:rPr>
                <w:sz w:val="16"/>
                <w:rtl w:val="1"/>
              </w:rPr>
              <w:t>قيادة برنامج الأمن السيبراني وإدارة المخاطر السيبرانية</w:t>
            </w:r>
          </w:p>
        </w:tc>
        <w:tc>
          <w:tcPr>
            <w:tcW w:type="dxa" w:w="1872"/>
          </w:tcPr>
          <w:p>
            <w:pPr>
              <w:jc w:val="right"/>
              <w:bidi w:val="1"/>
            </w:pPr>
            <w:r>
              <w:rPr>
                <w:sz w:val="16"/>
                <w:rtl w:val="1"/>
              </w:rPr>
              <w:t>مساءَل عن تنفيذ الاستراتيجية والامتثال لـ NCA ECC و NCA DCC</w:t>
            </w:r>
          </w:p>
        </w:tc>
        <w:tc>
          <w:tcPr>
            <w:tcW w:type="dxa" w:w="1872"/>
          </w:tcPr>
          <w:p>
            <w:pPr>
              <w:jc w:val="right"/>
              <w:bidi w:val="1"/>
            </w:pPr>
            <w:r>
              <w:rPr>
                <w:sz w:val="16"/>
                <w:rtl w:val="1"/>
              </w:rPr>
              <w:t>يرفع التقارير إلى اللجنة التوجيهية والإدارة العليا</w:t>
            </w:r>
          </w:p>
        </w:tc>
        <w:tc>
          <w:tcPr>
            <w:tcW w:type="dxa" w:w="1872"/>
          </w:tcPr>
          <w:p>
            <w:pPr>
              <w:jc w:val="right"/>
              <w:bidi w:val="1"/>
            </w:pPr>
            <w:r>
              <w:rPr>
                <w:sz w:val="16"/>
                <w:rtl w:val="1"/>
              </w:rPr>
              <w:t>NCA ECC / NCA DCC</w:t>
            </w:r>
          </w:p>
        </w:tc>
      </w:tr>
      <w:tr>
        <w:tc>
          <w:tcPr>
            <w:tcW w:type="dxa" w:w="1872"/>
          </w:tcPr>
          <w:p>
            <w:pPr>
              <w:jc w:val="right"/>
              <w:bidi w:val="1"/>
            </w:pPr>
            <w:r>
              <w:rPr>
                <w:sz w:val="16"/>
                <w:rtl w:val="1"/>
              </w:rPr>
              <w:t>مدير حوكمة الأمن السيبراني</w:t>
            </w:r>
          </w:p>
        </w:tc>
        <w:tc>
          <w:tcPr>
            <w:tcW w:type="dxa" w:w="1872"/>
          </w:tcPr>
          <w:p>
            <w:pPr>
              <w:jc w:val="right"/>
              <w:bidi w:val="1"/>
            </w:pPr>
            <w:r>
              <w:rPr>
                <w:sz w:val="16"/>
                <w:rtl w:val="1"/>
              </w:rPr>
              <w:t>إدارة السياسات والمعايير ومتابعة الامتثال التنظيمي</w:t>
            </w:r>
          </w:p>
        </w:tc>
        <w:tc>
          <w:tcPr>
            <w:tcW w:type="dxa" w:w="1872"/>
          </w:tcPr>
          <w:p>
            <w:pPr>
              <w:jc w:val="right"/>
              <w:bidi w:val="1"/>
            </w:pPr>
            <w:r>
              <w:rPr>
                <w:sz w:val="16"/>
                <w:rtl w:val="1"/>
              </w:rPr>
              <w:t>مساءَل عن تطوير وتحديث سياسات الأمن السيبراني</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مركز العمليات الأمنية SOC</w:t>
            </w:r>
          </w:p>
        </w:tc>
        <w:tc>
          <w:tcPr>
            <w:tcW w:type="dxa" w:w="1872"/>
          </w:tcPr>
          <w:p>
            <w:pPr>
              <w:jc w:val="right"/>
              <w:bidi w:val="1"/>
            </w:pPr>
            <w:r>
              <w:rPr>
                <w:sz w:val="16"/>
                <w:rtl w:val="1"/>
              </w:rPr>
              <w:t>إدارة SOC والمراقبة المستمرة للتهديدات وتفعيل SIEM</w:t>
            </w:r>
          </w:p>
        </w:tc>
        <w:tc>
          <w:tcPr>
            <w:tcW w:type="dxa" w:w="1872"/>
          </w:tcPr>
          <w:p>
            <w:pPr>
              <w:jc w:val="right"/>
              <w:bidi w:val="1"/>
            </w:pPr>
            <w:r>
              <w:rPr>
                <w:sz w:val="16"/>
                <w:rtl w:val="1"/>
              </w:rPr>
              <w:t>مساءَل عن كشف الحوادث الأمنية وزمن الاستجابة الأولية</w:t>
            </w:r>
          </w:p>
        </w:tc>
        <w:tc>
          <w:tcPr>
            <w:tcW w:type="dxa" w:w="1872"/>
          </w:tcPr>
          <w:p>
            <w:pPr>
              <w:jc w:val="right"/>
              <w:bidi w:val="1"/>
            </w:pPr>
            <w:r>
              <w:rPr>
                <w:sz w:val="16"/>
                <w:rtl w:val="1"/>
              </w:rPr>
              <w:t>يرفع التقارير إلى CISO ويصعد الحوادث الحرجة فوراً</w:t>
            </w:r>
          </w:p>
        </w:tc>
        <w:tc>
          <w:tcPr>
            <w:tcW w:type="dxa" w:w="1872"/>
          </w:tcPr>
          <w:p>
            <w:pPr>
              <w:jc w:val="right"/>
              <w:bidi w:val="1"/>
            </w:pPr>
            <w:r>
              <w:rPr>
                <w:sz w:val="16"/>
                <w:rtl w:val="1"/>
              </w:rPr>
              <w:t>NCA ECC</w:t>
            </w:r>
          </w:p>
        </w:tc>
      </w:tr>
      <w:tr>
        <w:tc>
          <w:tcPr>
            <w:tcW w:type="dxa" w:w="1872"/>
          </w:tcPr>
          <w:p>
            <w:pPr>
              <w:jc w:val="right"/>
              <w:bidi w:val="1"/>
            </w:pPr>
            <w:r>
              <w:rPr>
                <w:sz w:val="16"/>
                <w:rtl w:val="1"/>
              </w:rPr>
              <w:t>مدير حماية البيانات</w:t>
            </w:r>
          </w:p>
        </w:tc>
        <w:tc>
          <w:tcPr>
            <w:tcW w:type="dxa" w:w="1872"/>
          </w:tcPr>
          <w:p>
            <w:pPr>
              <w:jc w:val="right"/>
              <w:bidi w:val="1"/>
            </w:pPr>
            <w:r>
              <w:rPr>
                <w:sz w:val="16"/>
                <w:rtl w:val="1"/>
              </w:rPr>
              <w:t>إدارة DLP والتشفير وتصنيف البيانات وحمايتها</w:t>
            </w:r>
          </w:p>
        </w:tc>
        <w:tc>
          <w:tcPr>
            <w:tcW w:type="dxa" w:w="1872"/>
          </w:tcPr>
          <w:p>
            <w:pPr>
              <w:jc w:val="right"/>
              <w:bidi w:val="1"/>
            </w:pPr>
            <w:r>
              <w:rPr>
                <w:sz w:val="16"/>
                <w:rtl w:val="1"/>
              </w:rPr>
              <w:t>مساءَل عن تطبيق ضوابط حماية البيانات الحساسة</w:t>
            </w:r>
          </w:p>
        </w:tc>
        <w:tc>
          <w:tcPr>
            <w:tcW w:type="dxa" w:w="1872"/>
          </w:tcPr>
          <w:p>
            <w:pPr>
              <w:jc w:val="right"/>
              <w:bidi w:val="1"/>
            </w:pPr>
            <w:r>
              <w:rPr>
                <w:sz w:val="16"/>
                <w:rtl w:val="1"/>
              </w:rPr>
              <w:t>يرفع التقارير إلى CISO ويصعد حوادث تسرب البيانات</w:t>
            </w:r>
          </w:p>
        </w:tc>
        <w:tc>
          <w:tcPr>
            <w:tcW w:type="dxa" w:w="1872"/>
          </w:tcPr>
          <w:p>
            <w:pPr>
              <w:jc w:val="right"/>
              <w:bidi w:val="1"/>
            </w:pPr>
            <w:r>
              <w:rPr>
                <w:sz w:val="16"/>
                <w:rtl w:val="1"/>
              </w:rPr>
              <w:t>NCA DCC</w:t>
            </w:r>
          </w:p>
        </w:tc>
      </w:tr>
      <w:tr>
        <w:tc>
          <w:tcPr>
            <w:tcW w:type="dxa" w:w="1872"/>
          </w:tcPr>
          <w:p>
            <w:pPr>
              <w:jc w:val="right"/>
              <w:bidi w:val="1"/>
            </w:pPr>
            <w:r>
              <w:rPr>
                <w:sz w:val="16"/>
                <w:rtl w:val="1"/>
              </w:rPr>
              <w:t>مدير إدارة الهوية والوصول IAM/PAM</w:t>
            </w:r>
          </w:p>
        </w:tc>
        <w:tc>
          <w:tcPr>
            <w:tcW w:type="dxa" w:w="1872"/>
          </w:tcPr>
          <w:p>
            <w:pPr>
              <w:jc w:val="right"/>
              <w:bidi w:val="1"/>
            </w:pPr>
            <w:r>
              <w:rPr>
                <w:sz w:val="16"/>
                <w:rtl w:val="1"/>
              </w:rPr>
              <w:t>إدارة الهويات والصلاحيات وتفعيل MFA للوصول المميز</w:t>
            </w:r>
          </w:p>
        </w:tc>
        <w:tc>
          <w:tcPr>
            <w:tcW w:type="dxa" w:w="1872"/>
          </w:tcPr>
          <w:p>
            <w:pPr>
              <w:jc w:val="right"/>
              <w:bidi w:val="1"/>
            </w:pPr>
            <w:r>
              <w:rPr>
                <w:sz w:val="16"/>
                <w:rtl w:val="1"/>
              </w:rPr>
              <w:t>مساءَل عن منع الوصول غير المصرح وإدارة الحسابات المميزة</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الاستجابة للحوادث CSIRT</w:t>
            </w:r>
          </w:p>
        </w:tc>
        <w:tc>
          <w:tcPr>
            <w:tcW w:type="dxa" w:w="1872"/>
          </w:tcPr>
          <w:p>
            <w:pPr>
              <w:jc w:val="right"/>
              <w:bidi w:val="1"/>
            </w:pPr>
            <w:r>
              <w:rPr>
                <w:sz w:val="16"/>
                <w:rtl w:val="1"/>
              </w:rPr>
              <w:t>قيادة فريق CSIRT وتنفيذ خطة الاستجابة للحوادث</w:t>
            </w:r>
          </w:p>
        </w:tc>
        <w:tc>
          <w:tcPr>
            <w:tcW w:type="dxa" w:w="1872"/>
          </w:tcPr>
          <w:p>
            <w:pPr>
              <w:jc w:val="right"/>
              <w:bidi w:val="1"/>
            </w:pPr>
            <w:r>
              <w:rPr>
                <w:sz w:val="16"/>
                <w:rtl w:val="1"/>
              </w:rPr>
              <w:t>مساءَل عن احتواء الحوادث وإدارتها حتى الإغلاق</w:t>
            </w:r>
          </w:p>
        </w:tc>
        <w:tc>
          <w:tcPr>
            <w:tcW w:type="dxa" w:w="1872"/>
          </w:tcPr>
          <w:p>
            <w:pPr>
              <w:jc w:val="right"/>
              <w:bidi w:val="1"/>
            </w:pPr>
            <w:r>
              <w:rPr>
                <w:sz w:val="16"/>
                <w:rtl w:val="1"/>
              </w:rPr>
              <w:t>يرفع التقارير إلى CISO ويصعد الحوادث ذات الأثر العالي</w:t>
            </w:r>
          </w:p>
        </w:tc>
        <w:tc>
          <w:tcPr>
            <w:tcW w:type="dxa" w:w="1872"/>
          </w:tcPr>
          <w:p>
            <w:pPr>
              <w:jc w:val="right"/>
              <w:bidi w:val="1"/>
            </w:pPr>
            <w:r>
              <w:rPr>
                <w:sz w:val="16"/>
                <w:rtl w:val="1"/>
              </w:rPr>
              <w:t>NCA ECC</w:t>
            </w:r>
          </w:p>
        </w:tc>
      </w:tr>
      <w:tr>
        <w:tc>
          <w:tcPr>
            <w:tcW w:type="dxa" w:w="1872"/>
          </w:tcPr>
          <w:p>
            <w:pPr>
              <w:jc w:val="right"/>
              <w:bidi w:val="1"/>
            </w:pPr>
            <w:r>
              <w:rPr>
                <w:sz w:val="16"/>
                <w:rtl w:val="1"/>
              </w:rPr>
              <w:t>مدير إدارة الثغرات</w:t>
            </w:r>
          </w:p>
        </w:tc>
        <w:tc>
          <w:tcPr>
            <w:tcW w:type="dxa" w:w="1872"/>
          </w:tcPr>
          <w:p>
            <w:pPr>
              <w:jc w:val="right"/>
              <w:bidi w:val="1"/>
            </w:pPr>
            <w:r>
              <w:rPr>
                <w:sz w:val="16"/>
                <w:rtl w:val="1"/>
              </w:rPr>
              <w:t>إدارة برنامج إدارة الثغرات وفحصها ومعالجتها وفق SLA</w:t>
            </w:r>
          </w:p>
        </w:tc>
        <w:tc>
          <w:tcPr>
            <w:tcW w:type="dxa" w:w="1872"/>
          </w:tcPr>
          <w:p>
            <w:pPr>
              <w:jc w:val="right"/>
              <w:bidi w:val="1"/>
            </w:pPr>
            <w:r>
              <w:rPr>
                <w:sz w:val="16"/>
                <w:rtl w:val="1"/>
              </w:rPr>
              <w:t>مساءَل عن معالجة الثغرات الحرجة خلال SLA المحدد</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استمرارية الأعمال / التعافي</w:t>
            </w:r>
          </w:p>
        </w:tc>
        <w:tc>
          <w:tcPr>
            <w:tcW w:type="dxa" w:w="1872"/>
          </w:tcPr>
          <w:p>
            <w:pPr>
              <w:jc w:val="right"/>
              <w:bidi w:val="1"/>
            </w:pPr>
            <w:r>
              <w:rPr>
                <w:sz w:val="16"/>
                <w:rtl w:val="1"/>
              </w:rPr>
              <w:t>إدارة استمرارية الأعمال والتعافي من الكوارث السيبرانية</w:t>
            </w:r>
          </w:p>
        </w:tc>
        <w:tc>
          <w:tcPr>
            <w:tcW w:type="dxa" w:w="1872"/>
          </w:tcPr>
          <w:p>
            <w:pPr>
              <w:jc w:val="right"/>
              <w:bidi w:val="1"/>
            </w:pPr>
            <w:r>
              <w:rPr>
                <w:sz w:val="16"/>
                <w:rtl w:val="1"/>
              </w:rPr>
              <w:t>مساءَل عن تنفيذ خطط BCP / DRP السيبرانية واختبارها</w:t>
            </w:r>
          </w:p>
        </w:tc>
        <w:tc>
          <w:tcPr>
            <w:tcW w:type="dxa" w:w="1872"/>
          </w:tcPr>
          <w:p>
            <w:pPr>
              <w:jc w:val="right"/>
              <w:bidi w:val="1"/>
            </w:pPr>
            <w:r>
              <w:rPr>
                <w:sz w:val="16"/>
                <w:rtl w:val="1"/>
              </w:rPr>
              <w:t>يرفع التقارير إلى CISO والإدارة العليا</w:t>
            </w:r>
          </w:p>
        </w:tc>
        <w:tc>
          <w:tcPr>
            <w:tcW w:type="dxa" w:w="1872"/>
          </w:tcPr>
          <w:p>
            <w:pPr>
              <w:jc w:val="right"/>
              <w:bidi w:val="1"/>
            </w:pPr>
            <w:r>
              <w:rPr>
                <w:sz w:val="16"/>
                <w:rtl w:val="1"/>
              </w:rPr>
              <w:t>NCA ECC</w:t>
            </w:r>
          </w:p>
        </w:tc>
      </w:tr>
      <w:tr>
        <w:tc>
          <w:tcPr>
            <w:tcW w:type="dxa" w:w="1872"/>
          </w:tcPr>
          <w:p>
            <w:pPr>
              <w:jc w:val="right"/>
              <w:bidi w:val="1"/>
            </w:pPr>
            <w:r>
              <w:rPr>
                <w:sz w:val="16"/>
                <w:rtl w:val="1"/>
              </w:rPr>
              <w:t>مكتب إدارة المشاريع PMO</w:t>
            </w:r>
          </w:p>
        </w:tc>
        <w:tc>
          <w:tcPr>
            <w:tcW w:type="dxa" w:w="1872"/>
          </w:tcPr>
          <w:p>
            <w:pPr>
              <w:jc w:val="right"/>
              <w:bidi w:val="1"/>
            </w:pPr>
            <w:r>
              <w:rPr>
                <w:sz w:val="16"/>
                <w:rtl w:val="1"/>
              </w:rPr>
              <w:t>متابعة تنفيذ خارطة الطريق والمبادرات السيبرانية</w:t>
            </w:r>
          </w:p>
        </w:tc>
        <w:tc>
          <w:tcPr>
            <w:tcW w:type="dxa" w:w="1872"/>
          </w:tcPr>
          <w:p>
            <w:pPr>
              <w:jc w:val="right"/>
              <w:bidi w:val="1"/>
            </w:pPr>
            <w:r>
              <w:rPr>
                <w:sz w:val="16"/>
                <w:rtl w:val="1"/>
              </w:rPr>
              <w:t>مساءَل عن تتبع الإنجاز والمخاطر والتصعيد</w:t>
            </w:r>
          </w:p>
        </w:tc>
        <w:tc>
          <w:tcPr>
            <w:tcW w:type="dxa" w:w="1872"/>
          </w:tcPr>
          <w:p>
            <w:pPr>
              <w:jc w:val="right"/>
              <w:bidi w:val="1"/>
            </w:pPr>
            <w:r>
              <w:rPr>
                <w:sz w:val="16"/>
                <w:rtl w:val="1"/>
              </w:rPr>
              <w:t>يرفع التقارير إلى CISO واللجنة التوجيهية</w:t>
            </w:r>
          </w:p>
        </w:tc>
        <w:tc>
          <w:tcPr>
            <w:tcW w:type="dxa" w:w="1872"/>
          </w:tcPr>
          <w:p>
            <w:pPr>
              <w:jc w:val="right"/>
              <w:bidi w:val="1"/>
            </w:pPr>
            <w:r>
              <w:rPr>
                <w:sz w:val="16"/>
                <w:rtl w:val="1"/>
              </w:rPr>
              <w:t>NCA ECC / NCA DCC</w:t>
            </w:r>
          </w:p>
        </w:tc>
      </w:tr>
      <w:tr>
        <w:tc>
          <w:tcPr>
            <w:tcW w:type="dxa" w:w="1872"/>
          </w:tcPr>
          <w:p>
            <w:pPr>
              <w:jc w:val="right"/>
              <w:bidi w:val="1"/>
            </w:pPr>
            <w:r>
              <w:rPr>
                <w:sz w:val="16"/>
                <w:rtl w:val="1"/>
              </w:rPr>
              <w:t>الإدارة العليا</w:t>
            </w:r>
          </w:p>
        </w:tc>
        <w:tc>
          <w:tcPr>
            <w:tcW w:type="dxa" w:w="1872"/>
          </w:tcPr>
          <w:p>
            <w:pPr>
              <w:jc w:val="right"/>
              <w:bidi w:val="1"/>
            </w:pPr>
            <w:r>
              <w:rPr>
                <w:sz w:val="16"/>
                <w:rtl w:val="1"/>
              </w:rPr>
              <w:t>الإشراف التنفيذي ورفع المخاطر السيبرانية إلى مجلس الإدارة</w:t>
            </w:r>
          </w:p>
        </w:tc>
        <w:tc>
          <w:tcPr>
            <w:tcW w:type="dxa" w:w="1872"/>
          </w:tcPr>
          <w:p>
            <w:pPr>
              <w:jc w:val="right"/>
              <w:bidi w:val="1"/>
            </w:pPr>
            <w:r>
              <w:rPr>
                <w:sz w:val="16"/>
                <w:rtl w:val="1"/>
              </w:rPr>
              <w:t>مساءَلة عن دعم الموارد واتخاذ القرارات الاستراتيجية</w:t>
            </w:r>
          </w:p>
        </w:tc>
        <w:tc>
          <w:tcPr>
            <w:tcW w:type="dxa" w:w="1872"/>
          </w:tcPr>
          <w:p>
            <w:pPr>
              <w:jc w:val="right"/>
              <w:bidi w:val="1"/>
            </w:pPr>
            <w:r>
              <w:rPr>
                <w:sz w:val="16"/>
                <w:rtl w:val="1"/>
              </w:rPr>
              <w:t>ترفع التقارير إلى مجلس الإدارة</w:t>
            </w:r>
          </w:p>
        </w:tc>
        <w:tc>
          <w:tcPr>
            <w:tcW w:type="dxa" w:w="1872"/>
          </w:tcPr>
          <w:p>
            <w:pPr>
              <w:jc w:val="right"/>
              <w:bidi w:val="1"/>
            </w:pPr>
            <w:r>
              <w:rPr>
                <w:sz w:val="16"/>
                <w:rtl w:val="1"/>
              </w:rPr>
              <w:t>NCA ECC / NCA DCC</w:t>
            </w:r>
          </w:p>
        </w:tc>
      </w:tr>
    </w:tbl>
    <w:p/>
    <w:p>
      <w:r>
        <w:br w:type="page"/>
      </w:r>
    </w:p>
    <w:p>
      <w:pPr>
        <w:spacing w:before="160" w:after="40"/>
        <w:jc w:val="right"/>
        <w:bidi w:val="1"/>
      </w:pPr>
      <w:r>
        <w:rPr>
          <w:b/>
          <w:color w:val="1D2B4F"/>
          <w:sz w:val="28"/>
          <w:rtl w:val="1"/>
        </w:rPr>
        <w:t>مصفوفة تتبع الأطر المرجعية</w:t>
      </w:r>
    </w:p>
    <w:p>
      <w:pPr>
        <w:pBdr>
          <w:bottom w:val="single" w:sz="12" w:space="2" w:color="D04A02"/>
        </w:pBdr>
        <w:spacing w:after="160"/>
      </w:pPr>
    </w:p>
    <w:p>
      <w:pPr>
        <w:spacing w:before="160" w:after="40"/>
        <w:jc w:val="right"/>
        <w:bidi w:val="1"/>
      </w:pPr>
      <w:r>
        <w:rPr>
          <w:b/>
          <w:color w:val="1D2B4F"/>
          <w:sz w:val="28"/>
          <w:rtl w:val="1"/>
        </w:rPr>
        <w:t>NCA DCC (Data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3120"/>
        <w:gridCol w:w="3120"/>
        <w:gridCol w:w="3120"/>
      </w:tblGrid>
      <w:tr>
        <w:tc>
          <w:tcPr>
            <w:tcW w:type="dxa" w:w="3120"/>
            <w:shd w:val="clear" w:color="auto" w:fill="1D2B4F"/>
          </w:tcPr>
          <w:p>
            <w:pPr>
              <w:jc w:val="right"/>
              <w:bidi w:val="1"/>
            </w:pPr>
            <w:r>
              <w:rPr>
                <w:b/>
                <w:color w:val="FFFFFF"/>
                <w:sz w:val="18"/>
                <w:rtl w:val="1"/>
              </w:rPr>
              <w:t>الإطار المرجعي</w:t>
            </w:r>
          </w:p>
        </w:tc>
        <w:tc>
          <w:tcPr>
            <w:tcW w:type="dxa" w:w="3120"/>
            <w:shd w:val="clear" w:color="auto" w:fill="1D2B4F"/>
          </w:tcPr>
          <w:p>
            <w:pPr>
              <w:jc w:val="right"/>
              <w:bidi w:val="1"/>
            </w:pPr>
            <w:r>
              <w:rPr>
                <w:b/>
                <w:color w:val="FFFFFF"/>
                <w:sz w:val="18"/>
                <w:rtl w:val="1"/>
              </w:rPr>
              <w:t>مجال القدرة</w:t>
            </w:r>
          </w:p>
        </w:tc>
        <w:tc>
          <w:tcPr>
            <w:tcW w:type="dxa" w:w="3120"/>
            <w:shd w:val="clear" w:color="auto" w:fill="1D2B4F"/>
          </w:tcPr>
          <w:p>
            <w:pPr>
              <w:jc w:val="right"/>
              <w:bidi w:val="1"/>
            </w:pPr>
            <w:r>
              <w:rPr>
                <w:b/>
                <w:color w:val="FFFFFF"/>
                <w:sz w:val="18"/>
                <w:rtl w:val="1"/>
              </w:rPr>
              <w:t>الفجوة</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تصنيف البيانات</w:t>
            </w:r>
          </w:p>
        </w:tc>
        <w:tc>
          <w:tcPr>
            <w:tcW w:type="dxa" w:w="3120"/>
          </w:tcPr>
          <w:p>
            <w:pPr>
              <w:jc w:val="right"/>
              <w:bidi w:val="1"/>
            </w:pPr>
            <w:r>
              <w:rPr>
                <w:sz w:val="16"/>
                <w:rtl w:val="1"/>
              </w:rPr>
              <w:t>إجراء مراجعة شاملة للحسابات المتميزة والمستخدمين الحاليين وتصنيف مستويات الوصول وفق مبدأ أدنى صلاحية</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التشفير</w:t>
            </w:r>
          </w:p>
        </w:tc>
        <w:tc>
          <w:tcPr>
            <w:tcW w:type="dxa" w:w="3120"/>
          </w:tcPr>
          <w:p>
            <w:pPr>
              <w:jc w:val="right"/>
              <w:bidi w:val="1"/>
            </w:pPr>
            <w:r>
              <w:rPr>
                <w:sz w:val="16"/>
                <w:rtl w:val="1"/>
              </w:rPr>
              <w:t>ضعف ضوابط التشفير وإدارة المفاتيح</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منع تسرب البيانات / DLP</w:t>
            </w:r>
          </w:p>
        </w:tc>
        <w:tc>
          <w:tcPr>
            <w:tcW w:type="dxa" w:w="3120"/>
          </w:tcPr>
          <w:p>
            <w:pPr>
              <w:jc w:val="right"/>
              <w:bidi w:val="1"/>
            </w:pPr>
            <w:r>
              <w:rPr>
                <w:sz w:val="16"/>
                <w:rtl w:val="1"/>
              </w:rPr>
              <w:t>ضعف ضوابط منع تسرب البيانات</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معالجة البيانات الحساسة</w:t>
            </w:r>
          </w:p>
        </w:tc>
        <w:tc>
          <w:tcPr>
            <w:tcW w:type="dxa" w:w="3120"/>
          </w:tcPr>
          <w:p>
            <w:pPr>
              <w:jc w:val="right"/>
              <w:bidi w:val="1"/>
            </w:pPr>
            <w:r>
              <w:rPr>
                <w:sz w:val="16"/>
                <w:rtl w:val="1"/>
              </w:rPr>
              <w:t>ضعف معالجة البيانات الحساسة</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حماية البيانات</w:t>
            </w:r>
          </w:p>
        </w:tc>
        <w:tc>
          <w:tcPr>
            <w:tcW w:type="dxa" w:w="3120"/>
          </w:tcPr>
          <w:p>
            <w:pPr>
              <w:jc w:val="right"/>
              <w:bidi w:val="1"/>
            </w:pPr>
            <w:r>
              <w:rPr>
                <w:sz w:val="16"/>
                <w:rtl w:val="1"/>
              </w:rPr>
              <w:t>ضعف حماية البيانات أثناء النقل والتخزين</w:t>
            </w:r>
          </w:p>
        </w:tc>
      </w:tr>
    </w:tbl>
    <w:p/>
    <w:p>
      <w:pPr>
        <w:spacing w:before="160" w:after="40"/>
        <w:jc w:val="right"/>
        <w:bidi w:val="1"/>
      </w:pPr>
      <w:r>
        <w:rPr>
          <w:b/>
          <w:color w:val="1D2B4F"/>
          <w:sz w:val="28"/>
          <w:rtl w:val="1"/>
        </w:rPr>
        <w:t>NCA DCC (Data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الإطار</w:t>
            </w:r>
          </w:p>
        </w:tc>
        <w:tc>
          <w:tcPr>
            <w:tcW w:type="dxa" w:w="2340"/>
            <w:shd w:val="clear" w:color="auto" w:fill="1D2B4F"/>
          </w:tcPr>
          <w:p>
            <w:pPr>
              <w:jc w:val="right"/>
              <w:bidi w:val="1"/>
            </w:pPr>
            <w:r>
              <w:rPr>
                <w:b/>
                <w:color w:val="FFFFFF"/>
                <w:sz w:val="18"/>
                <w:rtl w:val="1"/>
              </w:rPr>
              <w:t>المبادرة</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المخاطر</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تنفيذ تصنيف البيانات / تصنيف البيانات الحساسة</w:t>
            </w:r>
          </w:p>
        </w:tc>
        <w:tc>
          <w:tcPr>
            <w:tcW w:type="dxa" w:w="2340"/>
          </w:tcPr>
          <w:p>
            <w:pPr>
              <w:jc w:val="right"/>
              <w:bidi w:val="1"/>
            </w:pPr>
            <w:r>
              <w:rPr>
                <w:sz w:val="16"/>
                <w:rtl w:val="1"/>
              </w:rPr>
              <w:t>نسبة تصنيف البيانات الحساسة</w:t>
            </w:r>
          </w:p>
        </w:tc>
        <w:tc>
          <w:tcPr>
            <w:tcW w:type="dxa" w:w="2340"/>
          </w:tcPr>
          <w:p>
            <w:pPr>
              <w:jc w:val="right"/>
              <w:bidi w:val="1"/>
            </w:pPr>
            <w:r>
              <w:rPr>
                <w:sz w:val="16"/>
                <w:rtl w:val="1"/>
              </w:rPr>
              <w:t>اختراق البيانات أو سوء تصنيف البيانات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تطبيق ضوابط التشفير</w:t>
            </w:r>
          </w:p>
        </w:tc>
        <w:tc>
          <w:tcPr>
            <w:tcW w:type="dxa" w:w="2340"/>
          </w:tcPr>
          <w:p>
            <w:pPr>
              <w:jc w:val="right"/>
              <w:bidi w:val="1"/>
            </w:pPr>
            <w:r>
              <w:rPr>
                <w:sz w:val="16"/>
                <w:rtl w:val="1"/>
              </w:rPr>
              <w:t>نسبة الامتثال لسياسات التشفير</w:t>
            </w:r>
          </w:p>
        </w:tc>
        <w:tc>
          <w:tcPr>
            <w:tcW w:type="dxa" w:w="2340"/>
          </w:tcPr>
          <w:p>
            <w:pPr>
              <w:jc w:val="right"/>
              <w:bidi w:val="1"/>
            </w:pPr>
            <w:r>
              <w:rPr>
                <w:sz w:val="16"/>
                <w:rtl w:val="1"/>
              </w:rPr>
              <w:t>تسرب البيانات أثناء النقل أو التخزين</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تطبيق DLP / منع تسرب البيانات</w:t>
            </w:r>
          </w:p>
        </w:tc>
        <w:tc>
          <w:tcPr>
            <w:tcW w:type="dxa" w:w="2340"/>
          </w:tcPr>
          <w:p>
            <w:pPr>
              <w:jc w:val="right"/>
              <w:bidi w:val="1"/>
            </w:pPr>
            <w:r>
              <w:rPr>
                <w:sz w:val="16"/>
                <w:rtl w:val="1"/>
              </w:rPr>
              <w:t>عدد حوادث تسرب البيانات أو مؤشرات منع التسرب</w:t>
            </w:r>
          </w:p>
        </w:tc>
        <w:tc>
          <w:tcPr>
            <w:tcW w:type="dxa" w:w="2340"/>
          </w:tcPr>
          <w:p>
            <w:pPr>
              <w:jc w:val="right"/>
              <w:bidi w:val="1"/>
            </w:pPr>
            <w:r>
              <w:rPr>
                <w:sz w:val="16"/>
                <w:rtl w:val="1"/>
              </w:rPr>
              <w:t>فقدان البيانات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معالجة البيانات الحساسة وفق الضوابط</w:t>
            </w:r>
          </w:p>
        </w:tc>
        <w:tc>
          <w:tcPr>
            <w:tcW w:type="dxa" w:w="2340"/>
          </w:tcPr>
          <w:p>
            <w:pPr>
              <w:jc w:val="right"/>
              <w:bidi w:val="1"/>
            </w:pPr>
            <w:r>
              <w:rPr>
                <w:sz w:val="16"/>
                <w:rtl w:val="1"/>
              </w:rPr>
              <w:t>نسبة الأصول الحساسة المصنفة أو المحمية</w:t>
            </w:r>
          </w:p>
        </w:tc>
        <w:tc>
          <w:tcPr>
            <w:tcW w:type="dxa" w:w="2340"/>
          </w:tcPr>
          <w:p>
            <w:pPr>
              <w:jc w:val="right"/>
              <w:bidi w:val="1"/>
            </w:pPr>
            <w:r>
              <w:rPr>
                <w:sz w:val="16"/>
                <w:rtl w:val="1"/>
              </w:rPr>
              <w:t>إفشاء غير مصرح للبيانات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حماية البيانات أثناء النقل والتخزين</w:t>
            </w:r>
          </w:p>
        </w:tc>
        <w:tc>
          <w:tcPr>
            <w:tcW w:type="dxa" w:w="2340"/>
          </w:tcPr>
          <w:p>
            <w:pPr>
              <w:jc w:val="right"/>
              <w:bidi w:val="1"/>
            </w:pPr>
            <w:r>
              <w:rPr>
                <w:sz w:val="16"/>
                <w:rtl w:val="1"/>
              </w:rPr>
              <w:t>نسبة الأصول المشفرة أو المحمية</w:t>
            </w:r>
          </w:p>
        </w:tc>
        <w:tc>
          <w:tcPr>
            <w:tcW w:type="dxa" w:w="2340"/>
          </w:tcPr>
          <w:p>
            <w:pPr>
              <w:jc w:val="right"/>
              <w:bidi w:val="1"/>
            </w:pPr>
            <w:r>
              <w:rPr>
                <w:sz w:val="16"/>
                <w:rtl w:val="1"/>
              </w:rPr>
              <w:t>اختراق البيانات أو ضعف حماية البيانات</w:t>
            </w:r>
          </w:p>
        </w:tc>
      </w:tr>
    </w:tbl>
    <w:p/>
    <w:p>
      <w:pPr>
        <w:spacing w:before="160" w:after="40"/>
        <w:jc w:val="right"/>
        <w:bidi w:val="1"/>
      </w:pPr>
      <w:r>
        <w:rPr>
          <w:b/>
          <w:color w:val="1D2B4F"/>
          <w:sz w:val="28"/>
          <w:rtl w:val="1"/>
        </w:rPr>
        <w:t>NCA ECC (Essential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3120"/>
        <w:gridCol w:w="3120"/>
        <w:gridCol w:w="3120"/>
      </w:tblGrid>
      <w:tr>
        <w:tc>
          <w:tcPr>
            <w:tcW w:type="dxa" w:w="3120"/>
            <w:shd w:val="clear" w:color="auto" w:fill="1D2B4F"/>
          </w:tcPr>
          <w:p>
            <w:pPr>
              <w:jc w:val="right"/>
              <w:bidi w:val="1"/>
            </w:pPr>
            <w:r>
              <w:rPr>
                <w:b/>
                <w:color w:val="FFFFFF"/>
                <w:sz w:val="18"/>
                <w:rtl w:val="1"/>
              </w:rPr>
              <w:t>الإطار المرجعي</w:t>
            </w:r>
          </w:p>
        </w:tc>
        <w:tc>
          <w:tcPr>
            <w:tcW w:type="dxa" w:w="3120"/>
            <w:shd w:val="clear" w:color="auto" w:fill="1D2B4F"/>
          </w:tcPr>
          <w:p>
            <w:pPr>
              <w:jc w:val="right"/>
              <w:bidi w:val="1"/>
            </w:pPr>
            <w:r>
              <w:rPr>
                <w:b/>
                <w:color w:val="FFFFFF"/>
                <w:sz w:val="18"/>
                <w:rtl w:val="1"/>
              </w:rPr>
              <w:t>مجال القدرة</w:t>
            </w:r>
          </w:p>
        </w:tc>
        <w:tc>
          <w:tcPr>
            <w:tcW w:type="dxa" w:w="3120"/>
            <w:shd w:val="clear" w:color="auto" w:fill="1D2B4F"/>
          </w:tcPr>
          <w:p>
            <w:pPr>
              <w:jc w:val="right"/>
              <w:bidi w:val="1"/>
            </w:pPr>
            <w:r>
              <w:rPr>
                <w:b/>
                <w:color w:val="FFFFFF"/>
                <w:sz w:val="18"/>
                <w:rtl w:val="1"/>
              </w:rPr>
              <w:t>الفجوة</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حوكمة الأمن السيبراني</w:t>
            </w:r>
          </w:p>
        </w:tc>
        <w:tc>
          <w:tcPr>
            <w:tcW w:type="dxa" w:w="3120"/>
          </w:tcPr>
          <w:p>
            <w:pPr>
              <w:jc w:val="right"/>
              <w:bidi w:val="1"/>
            </w:pPr>
            <w:r>
              <w:rPr>
                <w:sz w:val="16"/>
                <w:rtl w:val="1"/>
              </w:rPr>
              <w:t>غياب وظيفة CISO وهيكل حوكمة الأمن السيبراني</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إدارة الهوية والوصول</w:t>
            </w:r>
          </w:p>
        </w:tc>
        <w:tc>
          <w:tcPr>
            <w:tcW w:type="dxa" w:w="3120"/>
          </w:tcPr>
          <w:p>
            <w:pPr>
              <w:jc w:val="right"/>
              <w:bidi w:val="1"/>
            </w:pPr>
            <w:r>
              <w:rPr>
                <w:sz w:val="16"/>
                <w:rtl w:val="1"/>
              </w:rPr>
              <w:t>ضعف إدارة الهوية والوصول IAM / PAM / MFA</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الرصد الأمني (SOC / SIEM)</w:t>
            </w:r>
          </w:p>
        </w:tc>
        <w:tc>
          <w:tcPr>
            <w:tcW w:type="dxa" w:w="3120"/>
          </w:tcPr>
          <w:p>
            <w:pPr>
              <w:jc w:val="right"/>
              <w:bidi w:val="1"/>
            </w:pPr>
            <w:r>
              <w:rPr>
                <w:sz w:val="16"/>
                <w:rtl w:val="1"/>
              </w:rPr>
              <w:t>غياب مركز العمليات الأمنية SOC وأدوات SIEM</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الاستجابة للحوادث</w:t>
            </w:r>
          </w:p>
        </w:tc>
        <w:tc>
          <w:tcPr>
            <w:tcW w:type="dxa" w:w="3120"/>
          </w:tcPr>
          <w:p>
            <w:pPr>
              <w:jc w:val="right"/>
              <w:bidi w:val="1"/>
            </w:pPr>
            <w:r>
              <w:rPr>
                <w:sz w:val="16"/>
                <w:rtl w:val="1"/>
              </w:rPr>
              <w:t>غياب فريق الاستجابة للحوادث CSIRT وخطة رسمية</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إدارة الثغرات</w:t>
            </w:r>
          </w:p>
        </w:tc>
        <w:tc>
          <w:tcPr>
            <w:tcW w:type="dxa" w:w="3120"/>
          </w:tcPr>
          <w:p>
            <w:pPr>
              <w:jc w:val="right"/>
              <w:bidi w:val="1"/>
            </w:pPr>
            <w:r>
              <w:rPr>
                <w:sz w:val="16"/>
                <w:rtl w:val="1"/>
              </w:rPr>
              <w:t>قصور إدارة الثغرات الأمنية وغياب DLP والوصول عن بُعد الآمن</w:t>
            </w:r>
          </w:p>
        </w:tc>
      </w:tr>
    </w:tbl>
    <w:p/>
    <w:p>
      <w:pPr>
        <w:spacing w:before="160" w:after="40"/>
        <w:jc w:val="right"/>
        <w:bidi w:val="1"/>
      </w:pPr>
      <w:r>
        <w:rPr>
          <w:b/>
          <w:color w:val="1D2B4F"/>
          <w:sz w:val="28"/>
          <w:rtl w:val="1"/>
        </w:rPr>
        <w:t>NCA ECC (Essential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الإطار</w:t>
            </w:r>
          </w:p>
        </w:tc>
        <w:tc>
          <w:tcPr>
            <w:tcW w:type="dxa" w:w="2340"/>
            <w:shd w:val="clear" w:color="auto" w:fill="1D2B4F"/>
          </w:tcPr>
          <w:p>
            <w:pPr>
              <w:jc w:val="right"/>
              <w:bidi w:val="1"/>
            </w:pPr>
            <w:r>
              <w:rPr>
                <w:b/>
                <w:color w:val="FFFFFF"/>
                <w:sz w:val="18"/>
                <w:rtl w:val="1"/>
              </w:rPr>
              <w:t>المبادرة</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المخاطر</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إدارة الأمن السيبراني وتشكيل لجنة حوكمة الأمن السيبراني</w:t>
            </w:r>
          </w:p>
        </w:tc>
        <w:tc>
          <w:tcPr>
            <w:tcW w:type="dxa" w:w="2340"/>
          </w:tcPr>
          <w:p>
            <w:pPr>
              <w:jc w:val="right"/>
              <w:bidi w:val="1"/>
            </w:pPr>
            <w:r>
              <w:rPr>
                <w:sz w:val="16"/>
                <w:rtl w:val="1"/>
              </w:rPr>
              <w:t>نسبة اكتمال الهيكل التنظيمي والسياسات المعتمدة</w:t>
            </w:r>
          </w:p>
        </w:tc>
        <w:tc>
          <w:tcPr>
            <w:tcW w:type="dxa" w:w="2340"/>
          </w:tcPr>
          <w:p>
            <w:pPr>
              <w:jc w:val="right"/>
              <w:bidi w:val="1"/>
            </w:pPr>
            <w:r>
              <w:rPr>
                <w:sz w:val="16"/>
                <w:rtl w:val="1"/>
              </w:rPr>
              <w:t>ضعف الحوكمة أو غياب المساءلة السيبرانية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تطبيق IAM/PAM/MFA</w:t>
            </w:r>
          </w:p>
        </w:tc>
        <w:tc>
          <w:tcPr>
            <w:tcW w:type="dxa" w:w="2340"/>
          </w:tcPr>
          <w:p>
            <w:pPr>
              <w:jc w:val="right"/>
              <w:bidi w:val="1"/>
            </w:pPr>
            <w:r>
              <w:rPr>
                <w:sz w:val="16"/>
                <w:rtl w:val="1"/>
              </w:rPr>
              <w:t>نسبة تطبيق المصادقة متعددة العوامل MFA للوصول المميز</w:t>
            </w:r>
          </w:p>
        </w:tc>
        <w:tc>
          <w:tcPr>
            <w:tcW w:type="dxa" w:w="2340"/>
          </w:tcPr>
          <w:p>
            <w:pPr>
              <w:jc w:val="right"/>
              <w:bidi w:val="1"/>
            </w:pPr>
            <w:r>
              <w:rPr>
                <w:sz w:val="16"/>
                <w:rtl w:val="1"/>
              </w:rPr>
              <w:t>اختراق أنظمة التحكم في الوصول والهوية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مركز العمليات الأمنية SOC وتفعيل SIEM</w:t>
            </w:r>
          </w:p>
        </w:tc>
        <w:tc>
          <w:tcPr>
            <w:tcW w:type="dxa" w:w="2340"/>
          </w:tcPr>
          <w:p>
            <w:pPr>
              <w:jc w:val="right"/>
              <w:bidi w:val="1"/>
            </w:pPr>
            <w:r>
              <w:rPr>
                <w:sz w:val="16"/>
                <w:rtl w:val="1"/>
              </w:rPr>
              <w:t>متوسط زمن كشف الحوادث الأمنية الحرجة</w:t>
            </w:r>
          </w:p>
        </w:tc>
        <w:tc>
          <w:tcPr>
            <w:tcW w:type="dxa" w:w="2340"/>
          </w:tcPr>
          <w:p>
            <w:pPr>
              <w:jc w:val="right"/>
              <w:bidi w:val="1"/>
            </w:pPr>
            <w:r>
              <w:rPr>
                <w:sz w:val="16"/>
                <w:rtl w:val="1"/>
              </w:rPr>
              <w:t>فشل آليات الكشف المبكر للتهديدات المتقدمة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فريق CSIRT وتطوير خطة الاستجابة للحوادث</w:t>
            </w:r>
          </w:p>
        </w:tc>
        <w:tc>
          <w:tcPr>
            <w:tcW w:type="dxa" w:w="2340"/>
          </w:tcPr>
          <w:p>
            <w:pPr>
              <w:jc w:val="right"/>
              <w:bidi w:val="1"/>
            </w:pPr>
            <w:r>
              <w:rPr>
                <w:sz w:val="16"/>
                <w:rtl w:val="1"/>
              </w:rPr>
              <w:t>متوسط زمن الاستجابة للحوادث الحرجة</w:t>
            </w:r>
          </w:p>
        </w:tc>
        <w:tc>
          <w:tcPr>
            <w:tcW w:type="dxa" w:w="2340"/>
          </w:tcPr>
          <w:p>
            <w:pPr>
              <w:jc w:val="right"/>
              <w:bidi w:val="1"/>
            </w:pPr>
            <w:r>
              <w:rPr>
                <w:sz w:val="16"/>
                <w:rtl w:val="1"/>
              </w:rPr>
              <w:t>تأخر احتواء الحوادث أو ضعف الاستجابة للحوادث</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تنفيذ برنامج إدارة الثغرات الأمنية وفحص الثغرات</w:t>
            </w:r>
          </w:p>
        </w:tc>
        <w:tc>
          <w:tcPr>
            <w:tcW w:type="dxa" w:w="2340"/>
          </w:tcPr>
          <w:p>
            <w:pPr>
              <w:jc w:val="right"/>
              <w:bidi w:val="1"/>
            </w:pPr>
            <w:r>
              <w:rPr>
                <w:sz w:val="16"/>
                <w:rtl w:val="1"/>
              </w:rPr>
              <w:t>نسبة الثغرات الحرجة المعالجة خلال SLA المحدد</w:t>
            </w:r>
          </w:p>
        </w:tc>
        <w:tc>
          <w:tcPr>
            <w:tcW w:type="dxa" w:w="2340"/>
          </w:tcPr>
          <w:p>
            <w:pPr>
              <w:jc w:val="right"/>
              <w:bidi w:val="1"/>
            </w:pPr>
            <w:r>
              <w:rPr>
                <w:sz w:val="16"/>
                <w:rtl w:val="1"/>
              </w:rPr>
              <w:t>استغلال الثغرات الحرجة في الأنظمة الحكومية</w:t>
            </w:r>
          </w:p>
        </w:tc>
      </w:tr>
    </w:tbl>
    <w:p/>
    <w:p>
      <w:r>
        <w:br w:type="page"/>
      </w:r>
    </w:p>
    <w:p>
      <w:pPr>
        <w:spacing w:before="160" w:after="40"/>
        <w:jc w:val="right"/>
        <w:bidi w:val="1"/>
      </w:pPr>
      <w:r>
        <w:rPr>
          <w:b/>
          <w:color w:val="1D2B4F"/>
          <w:sz w:val="28"/>
          <w:rtl w:val="1"/>
        </w:rPr>
        <w:t>الملاحق</w:t>
      </w:r>
    </w:p>
    <w:p>
      <w:pPr>
        <w:pBdr>
          <w:bottom w:val="single" w:sz="12" w:space="2" w:color="D04A02"/>
        </w:pBdr>
        <w:spacing w:after="160"/>
      </w:pPr>
    </w:p>
    <w:p>
      <w:pPr>
        <w:jc w:val="right"/>
        <w:bidi w:val="1"/>
      </w:pPr>
      <w:r>
        <w:rPr>
          <w:b/>
          <w:color w:val="1D2B4F"/>
          <w:sz w:val="20"/>
          <w:rtl w:val="1"/>
        </w:rPr>
        <w:t>الملحق أ — الأطر المرجعية</w:t>
      </w:r>
    </w:p>
    <w:p>
      <w:pPr>
        <w:spacing w:after="120"/>
        <w:jc w:val="right"/>
        <w:bidi w:val="1"/>
      </w:pPr>
      <w:r>
        <w:rPr>
          <w:sz w:val="20"/>
          <w:rtl w:val="1"/>
        </w:rPr>
        <w:t>الأطر المرجعية المستخدمة في إعداد هذه الوثيقة:</w:t>
      </w:r>
    </w:p>
    <w:p>
      <w:pPr>
        <w:spacing w:after="120"/>
        <w:jc w:val="right"/>
        <w:bidi w:val="1"/>
      </w:pPr>
      <w:r>
        <w:rPr>
          <w:sz w:val="20"/>
          <w:rtl w:val="1"/>
        </w:rPr>
        <w:t>• ECC: NCA ECC (Essential Cybersecurity Controls)</w:t>
      </w:r>
    </w:p>
    <w:p>
      <w:pPr>
        <w:spacing w:after="120"/>
        <w:jc w:val="right"/>
        <w:bidi w:val="1"/>
      </w:pPr>
      <w:r>
        <w:rPr>
          <w:sz w:val="20"/>
          <w:rtl w:val="1"/>
        </w:rPr>
        <w:t>• DCC: NCA DCC (Data Cybersecurity Controls)</w:t>
      </w:r>
    </w:p>
    <w:p>
      <w:pPr>
        <w:jc w:val="right"/>
        <w:bidi w:val="1"/>
      </w:pPr>
      <w:r>
        <w:rPr>
          <w:b/>
          <w:color w:val="1D2B4F"/>
          <w:sz w:val="20"/>
          <w:rtl w:val="1"/>
        </w:rPr>
        <w:t>الملحق ب — قاموس المصطلحات</w:t>
      </w:r>
    </w:p>
    <w:p>
      <w:pPr>
        <w:spacing w:after="120"/>
        <w:jc w:val="right"/>
        <w:bidi w:val="1"/>
      </w:pPr>
      <w:r>
        <w:rPr>
          <w:sz w:val="20"/>
          <w:rtl w:val="1"/>
        </w:rPr>
        <w:t>تعريفات المصطلحات والاختصارات المستخدمة في هذه الوثيقة:</w:t>
      </w:r>
    </w:p>
    <w:p>
      <w:pPr>
        <w:spacing w:after="120"/>
        <w:jc w:val="right"/>
        <w:bidi w:val="1"/>
      </w:pPr>
      <w:r>
        <w:rPr>
          <w:sz w:val="20"/>
          <w:rtl w:val="1"/>
        </w:rPr>
        <w:t>• ECC: الضوابط الأساسية للأمن السيبراني (NCA)</w:t>
      </w:r>
    </w:p>
    <w:p>
      <w:pPr>
        <w:spacing w:after="120"/>
        <w:jc w:val="right"/>
        <w:bidi w:val="1"/>
      </w:pPr>
      <w:r>
        <w:rPr>
          <w:sz w:val="20"/>
          <w:rtl w:val="1"/>
        </w:rPr>
        <w:t>• DCC: ضوابط الأمن السيبراني للبيانات (NCA)</w:t>
      </w:r>
    </w:p>
    <w:p>
      <w:pPr>
        <w:spacing w:after="120"/>
        <w:jc w:val="right"/>
        <w:bidi w:val="1"/>
      </w:pPr>
      <w:r>
        <w:rPr>
          <w:sz w:val="20"/>
          <w:rtl w:val="1"/>
        </w:rPr>
        <w:t>• MFA: المصادقة متعددة العوامل</w:t>
      </w:r>
    </w:p>
    <w:p>
      <w:pPr>
        <w:spacing w:after="120"/>
        <w:jc w:val="right"/>
        <w:bidi w:val="1"/>
      </w:pPr>
      <w:r>
        <w:rPr>
          <w:sz w:val="20"/>
          <w:rtl w:val="1"/>
        </w:rPr>
        <w:t>• VPN: الشبكة الافتراضية الخاصة</w:t>
      </w:r>
    </w:p>
    <w:p>
      <w:pPr>
        <w:spacing w:after="120"/>
        <w:jc w:val="right"/>
        <w:bidi w:val="1"/>
      </w:pPr>
      <w:r>
        <w:rPr>
          <w:sz w:val="20"/>
          <w:rtl w:val="1"/>
        </w:rPr>
        <w:t>• IAM: إدارة الهوية والوصول</w:t>
      </w:r>
    </w:p>
    <w:p>
      <w:pPr>
        <w:spacing w:after="120"/>
        <w:jc w:val="right"/>
        <w:bidi w:val="1"/>
      </w:pPr>
      <w:r>
        <w:rPr>
          <w:sz w:val="20"/>
          <w:rtl w:val="1"/>
        </w:rPr>
        <w:t>• PAM: إدارة الوصول المميز</w:t>
      </w:r>
    </w:p>
    <w:p>
      <w:pPr>
        <w:spacing w:after="120"/>
        <w:jc w:val="right"/>
        <w:bidi w:val="1"/>
      </w:pPr>
      <w:r>
        <w:rPr>
          <w:sz w:val="20"/>
          <w:rtl w:val="1"/>
        </w:rPr>
        <w:t>• SOC: مركز العمليات الأمنية</w:t>
      </w:r>
    </w:p>
    <w:p>
      <w:pPr>
        <w:spacing w:after="120"/>
        <w:jc w:val="right"/>
        <w:bidi w:val="1"/>
      </w:pPr>
      <w:r>
        <w:rPr>
          <w:sz w:val="20"/>
          <w:rtl w:val="1"/>
        </w:rPr>
        <w:t>• SIEM: إدارة المعلومات والأحداث الأمنية</w:t>
      </w:r>
    </w:p>
    <w:p>
      <w:pPr>
        <w:spacing w:after="120"/>
        <w:jc w:val="right"/>
        <w:bidi w:val="1"/>
      </w:pPr>
      <w:r>
        <w:rPr>
          <w:sz w:val="20"/>
          <w:rtl w:val="1"/>
        </w:rPr>
        <w:t>• CSIRT: فريق الاستجابة لحوادث الأمن السيبراني</w:t>
      </w:r>
    </w:p>
    <w:p>
      <w:pPr>
        <w:spacing w:after="120"/>
        <w:jc w:val="right"/>
        <w:bidi w:val="1"/>
      </w:pPr>
      <w:r>
        <w:rPr>
          <w:sz w:val="20"/>
          <w:rtl w:val="1"/>
        </w:rPr>
        <w:t>• DLP: منع تسرب البيانات</w:t>
      </w:r>
    </w:p>
    <w:p>
      <w:pPr>
        <w:spacing w:after="120"/>
        <w:jc w:val="right"/>
        <w:bidi w:val="1"/>
      </w:pPr>
      <w:r>
        <w:rPr>
          <w:sz w:val="20"/>
          <w:rtl w:val="1"/>
        </w:rPr>
        <w:t>• EDR: كشف التهديدات والاستجابة في النقاط الطرفية</w:t>
      </w:r>
    </w:p>
    <w:p>
      <w:pPr>
        <w:spacing w:after="120"/>
        <w:jc w:val="right"/>
        <w:bidi w:val="1"/>
      </w:pPr>
      <w:r>
        <w:rPr>
          <w:sz w:val="20"/>
          <w:rtl w:val="1"/>
        </w:rPr>
        <w:t>• KRI: مؤشر المخاطر الرئيسي</w:t>
      </w:r>
    </w:p>
    <w:p>
      <w:pPr>
        <w:spacing w:after="120"/>
        <w:jc w:val="right"/>
        <w:bidi w:val="1"/>
      </w:pPr>
      <w:r>
        <w:rPr>
          <w:sz w:val="20"/>
          <w:rtl w:val="1"/>
        </w:rPr>
        <w:t>• Data Classification: تصنيف البيانات</w:t>
      </w:r>
    </w:p>
    <w:p>
      <w:pPr>
        <w:spacing w:after="120"/>
        <w:jc w:val="right"/>
        <w:bidi w:val="1"/>
      </w:pPr>
      <w:r>
        <w:rPr>
          <w:sz w:val="20"/>
          <w:rtl w:val="1"/>
        </w:rPr>
        <w:t>• KPI: مؤشر الأداء الرئيسي</w:t>
      </w:r>
    </w:p>
    <w:p>
      <w:r>
        <w:br w:type="page"/>
      </w:r>
    </w:p>
    <w:sectPr w:rsidR="00FC693F" w:rsidRPr="0006063C" w:rsidSect="00034616">
      <w:footerReference w:type="default" r:id="rId9"/>
      <w:pgSz w:w="12240" w:h="15840"/>
      <w:pgMar w:top="1440" w:right="1440" w:bottom="1080" w:left="1440"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CCCCCC"/>
      </w:pBdr>
    </w:pPr>
    <w:r>
      <w:rPr>
        <w:color w:val="999999"/>
        <w:sz w:val="20"/>
      </w:rPr>
      <w:fldChar w:fldCharType="begin"/>
    </w:r>
    <w:r>
      <w:rPr>
        <w:sz w:val="20"/>
      </w:rPr>
      <w:instrText xml:space="preserve"> PAGE </w:instrText>
    </w:r>
    <w:r>
      <w:rPr>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D2B4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D2B4F"/>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D04A0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1D2B4F"/>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