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2A4A"/>
          <w:sz w:val="32"/>
        </w:rPr>
        <w:t>MERIDIAN STRATEGY PARTNERS</w:t>
      </w:r>
    </w:p>
    <w:p>
      <w:pPr>
        <w:spacing w:after="40"/>
      </w:pPr>
      <w:r>
        <w:rPr>
          <w:b w:val="0"/>
          <w:color w:val="1C635C"/>
          <w:sz w:val="24"/>
        </w:rPr>
        <w:t>Digital Government &amp; Public Sector Transformation</w:t>
      </w:r>
    </w:p>
    <w:p>
      <w:pPr>
        <w:spacing w:after="40"/>
      </w:pPr>
      <w:r>
        <w:rPr>
          <w:b/>
          <w:color w:val="1B2A4A"/>
          <w:sz w:val="36"/>
        </w:rPr>
        <w:t>PROJECT CHARTER &amp; STATEMENT OF WORK</w:t>
      </w:r>
    </w:p>
    <w:p>
      <w:pPr>
        <w:spacing w:after="240"/>
      </w:pPr>
      <w:r>
        <w:rPr>
          <w:b w:val="0"/>
          <w:color w:val="595959"/>
          <w:sz w:val="26"/>
        </w:rPr>
        <w:t>Ministry of Justice — Digital Transformation Engagement</w:t>
      </w:r>
    </w:p>
    <w:p>
      <w:pPr>
        <w:pStyle w:val="Heading1"/>
      </w:pPr>
      <w:r>
        <w:t>1. Background &amp; Business Context</w:t>
      </w:r>
    </w:p>
    <w:p>
      <w:r>
        <w:t>The Ministry of Justice (Misrad HaMishpatim) operates a large portfolio of citizen- and court-facing services — including case management, land registry (Tabu), enforcement and collections (Hotza'ah LaPoal), the Population and Immigration Authority interfaces, and internal legal-counsel workflows — many of which still rely on paper-based intake, legacy mainframe case-management systems, and manual inter-departmental handoffs. A preliminary internal review identified that average case processing time in the civil courts digital docket exceeds leading e-government benchmarks by roughly 40%, and that 12 of the Ministry's core citizen-facing services still require an in-person visit or wet-ink signature at some point in the process.</w:t>
      </w:r>
    </w:p>
    <w:p>
      <w:r>
        <w:t>The Ministry has engaged Meridian Strategy Partners to conduct an independent digital maturity assessment across its core directorates, define a target digital operating model aligned with the Government ICT Authority's (מרכז למיפוי טכנולוגי, moual digital government standards) interoperability requirements, and deliver an implementation-ready multi-year digital transformation roadmap.</w:t>
      </w:r>
    </w:p>
    <w:p>
      <w:r>
        <w:rPr>
          <w:i/>
          <w:color w:val="595959"/>
        </w:rPr>
        <w:t>Note: This document contains fictional placeholder data prepared for internal project simulation purposes.</w:t>
      </w:r>
    </w:p>
    <w:p>
      <w:pPr>
        <w:pStyle w:val="Heading1"/>
      </w:pPr>
      <w:r>
        <w:t>2. Objectives</w:t>
      </w:r>
    </w:p>
    <w:p>
      <w:pPr>
        <w:pStyle w:val="ListBullet"/>
      </w:pPr>
      <w:r>
        <w:t>Assess current-state digital maturity, systems landscape, and process flow across the Courts Administration, Land Registry (Tabu), Enforcement and Collections Authority, and Legal Counsel &amp; Legislation directorates.</w:t>
      </w:r>
    </w:p>
    <w:p>
      <w:pPr>
        <w:pStyle w:val="ListBullet"/>
      </w:pPr>
      <w:r>
        <w:t>Identify manual, paper-based, and redundant process steps eligible for digitization or automation.</w:t>
      </w:r>
    </w:p>
    <w:p>
      <w:pPr>
        <w:pStyle w:val="ListBullet"/>
      </w:pPr>
      <w:r>
        <w:t>Model at least two future-state digital operating scenarios with associated investment, risk, and implementation timeline.</w:t>
      </w:r>
    </w:p>
    <w:p>
      <w:pPr>
        <w:pStyle w:val="ListBullet"/>
      </w:pPr>
      <w:r>
        <w:t>Deliver a recommended target digital architecture and a phased, implementation-ready transformation roadmap.</w:t>
      </w:r>
    </w:p>
    <w:p>
      <w:pPr>
        <w:pStyle w:val="ListBullet"/>
      </w:pPr>
      <w:r>
        <w:t>Support Ministry leadership through vendor selection, change management, and public communication in compliance with applicable Israeli e-government and data protection regulation.</w:t>
      </w:r>
    </w:p>
    <w:p>
      <w:pPr>
        <w:pStyle w:val="Heading1"/>
      </w:pPr>
      <w:r>
        <w:t>3. Scope of Work</w:t>
      </w:r>
    </w:p>
    <w:p>
      <w:pPr>
        <w:pStyle w:val="Heading2"/>
      </w:pPr>
      <w:r>
        <w:t>3.1 In Scope</w:t>
      </w:r>
    </w:p>
    <w:p>
      <w:pPr>
        <w:pStyle w:val="ListBullet"/>
      </w:pPr>
      <w:r>
        <w:t>Directorates in scope: Courts Administration (Case Management), Land Registry (Tabu), Enforcement and Collections Authority (Hotza'ah LaPoal), Legal Counsel &amp; Legislation (32 core business systems, Jerusalem HQ + 6 regional court sites).</w:t>
      </w:r>
    </w:p>
    <w:p>
      <w:pPr>
        <w:pStyle w:val="ListBullet"/>
      </w:pPr>
      <w:r>
        <w:t>Current-state data collection: systems and applications inventory, process walkthroughs, digital maturity interviews with directorate leads.</w:t>
      </w:r>
    </w:p>
    <w:p>
      <w:pPr>
        <w:pStyle w:val="ListBullet"/>
      </w:pPr>
      <w:r>
        <w:t>Future-state design: minimum two scenarios (phased modernization and accelerated cloud-first transformation).</w:t>
      </w:r>
    </w:p>
    <w:p>
      <w:pPr>
        <w:pStyle w:val="ListBullet"/>
      </w:pPr>
      <w:r>
        <w:t>Investment modeling: implementation cost, licensing and cloud run-rate, efficiency savings, payback period.</w:t>
      </w:r>
    </w:p>
    <w:p>
      <w:pPr>
        <w:pStyle w:val="ListBullet"/>
      </w:pPr>
      <w:r>
        <w:t>Steering Committee reporting: bi-weekly status updates and milestone presentations.</w:t>
      </w:r>
    </w:p>
    <w:p>
      <w:pPr>
        <w:pStyle w:val="Heading2"/>
      </w:pPr>
      <w:r>
        <w:t>3.2 Out of Scope</w:t>
      </w:r>
    </w:p>
    <w:p>
      <w:pPr>
        <w:pStyle w:val="ListBullet"/>
      </w:pPr>
      <w:r>
        <w:t>Prosecution (State Attorney's Office) case systems and Ministry of Public Security interfaces.</w:t>
      </w:r>
    </w:p>
    <w:p>
      <w:pPr>
        <w:pStyle w:val="ListBullet"/>
      </w:pPr>
      <w:r>
        <w:t>Procurement execution and vendor contract negotiation (Ministry Procurement Division retains this responsibility).</w:t>
      </w:r>
    </w:p>
    <w:p>
      <w:pPr>
        <w:pStyle w:val="ListBullet"/>
      </w:pPr>
      <w:r>
        <w:t>Individual system source-code development (delivered by selected implementation vendors under separate SOW).</w:t>
      </w:r>
    </w:p>
    <w:p>
      <w:pPr>
        <w:pStyle w:val="ListBullet"/>
      </w:pPr>
      <w:r>
        <w:t>Legal review of legislative amendments required to enable e-signature and digital service of process (Ministry Legal Counsel retains this responsibility).</w:t>
      </w:r>
    </w:p>
    <w:p>
      <w:pPr>
        <w:pStyle w:val="Heading1"/>
      </w:pPr>
      <w:r>
        <w:t>4. Deliverables &amp;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Deliverable</w:t>
            </w:r>
          </w:p>
        </w:tc>
        <w:tc>
          <w:tcPr>
            <w:tcW w:type="dxa" w:w="2880"/>
          </w:tcPr>
          <w:p>
            <w:r>
              <w:rPr>
                <w:b/>
              </w:rPr>
              <w:t>Target Completion</w:t>
            </w:r>
          </w:p>
        </w:tc>
      </w:tr>
      <w:tr>
        <w:tc>
          <w:tcPr>
            <w:tcW w:type="dxa" w:w="2880"/>
          </w:tcPr>
          <w:p>
            <w:r>
              <w:t>Phase 1: Discovery</w:t>
            </w:r>
          </w:p>
        </w:tc>
        <w:tc>
          <w:tcPr>
            <w:tcW w:type="dxa" w:w="2880"/>
          </w:tcPr>
          <w:p>
            <w:r>
              <w:t>Current-state systems inventory, digital maturity scorecard, process-flow maps</w:t>
            </w:r>
          </w:p>
        </w:tc>
        <w:tc>
          <w:tcPr>
            <w:tcW w:type="dxa" w:w="2880"/>
          </w:tcPr>
          <w:p>
            <w:r>
              <w:t>Aug 15, 2026</w:t>
            </w:r>
          </w:p>
        </w:tc>
      </w:tr>
      <w:tr>
        <w:tc>
          <w:tcPr>
            <w:tcW w:type="dxa" w:w="2880"/>
          </w:tcPr>
          <w:p>
            <w:r>
              <w:t>Phase 2: Diagnosis</w:t>
            </w:r>
          </w:p>
        </w:tc>
        <w:tc>
          <w:tcPr>
            <w:tcW w:type="dxa" w:w="2880"/>
          </w:tcPr>
          <w:p>
            <w:r>
              <w:t>Diagnostic findings deck, directorate interview summary</w:t>
            </w:r>
          </w:p>
        </w:tc>
        <w:tc>
          <w:tcPr>
            <w:tcW w:type="dxa" w:w="2880"/>
          </w:tcPr>
          <w:p>
            <w:r>
              <w:t>Aug 29, 2026</w:t>
            </w:r>
          </w:p>
        </w:tc>
      </w:tr>
      <w:tr>
        <w:tc>
          <w:tcPr>
            <w:tcW w:type="dxa" w:w="2880"/>
          </w:tcPr>
          <w:p>
            <w:r>
              <w:t>Phase 3: Design</w:t>
            </w:r>
          </w:p>
        </w:tc>
        <w:tc>
          <w:tcPr>
            <w:tcW w:type="dxa" w:w="2880"/>
          </w:tcPr>
          <w:p>
            <w:r>
              <w:t>Future-state scenario comparison model</w:t>
            </w:r>
          </w:p>
        </w:tc>
        <w:tc>
          <w:tcPr>
            <w:tcW w:type="dxa" w:w="2880"/>
          </w:tcPr>
          <w:p>
            <w:r>
              <w:t>Sep 19, 2026</w:t>
            </w:r>
          </w:p>
        </w:tc>
      </w:tr>
      <w:tr>
        <w:tc>
          <w:tcPr>
            <w:tcW w:type="dxa" w:w="2880"/>
          </w:tcPr>
          <w:p>
            <w:r>
              <w:t>Phase 4: Recommendation</w:t>
            </w:r>
          </w:p>
        </w:tc>
        <w:tc>
          <w:tcPr>
            <w:tcW w:type="dxa" w:w="2880"/>
          </w:tcPr>
          <w:p>
            <w:r>
              <w:t>Executive Steering Committee recommendation deck</w:t>
            </w:r>
          </w:p>
        </w:tc>
        <w:tc>
          <w:tcPr>
            <w:tcW w:type="dxa" w:w="2880"/>
          </w:tcPr>
          <w:p>
            <w:r>
              <w:t>Sep 30, 2026</w:t>
            </w:r>
          </w:p>
        </w:tc>
      </w:tr>
      <w:tr>
        <w:tc>
          <w:tcPr>
            <w:tcW w:type="dxa" w:w="2880"/>
          </w:tcPr>
          <w:p>
            <w:r>
              <w:t>Phase 5: Implementation Support</w:t>
            </w:r>
          </w:p>
        </w:tc>
        <w:tc>
          <w:tcPr>
            <w:tcW w:type="dxa" w:w="2880"/>
          </w:tcPr>
          <w:p>
            <w:r>
              <w:t>Vendor selection support, change management &amp; citizen communication toolkit</w:t>
            </w:r>
          </w:p>
        </w:tc>
        <w:tc>
          <w:tcPr>
            <w:tcW w:type="dxa" w:w="2880"/>
          </w:tcPr>
          <w:p>
            <w:r>
              <w:t>Oct 2026–Mar 2027</w:t>
            </w:r>
          </w:p>
        </w:tc>
      </w:tr>
    </w:tbl>
    <w:p>
      <w:pPr>
        <w:pStyle w:val="Heading1"/>
      </w:pPr>
      <w:r>
        <w:t>5. Governance</w:t>
      </w:r>
    </w:p>
    <w:p>
      <w:r>
        <w:t>A Steering Committee comprising Adv. Rachel Ben-Ami (Director General, Ministry of Justice), Yoav Peretz (CIO, Ministry of Justice), and Maayan Chen (Engagement Lead) will meet bi-weekly to review progress, approve scenario direction, and resolve escalations. Working sessions with directorate heads and the Government ICT Authority liaison will be scheduled as needed during Discovery and Design phases.</w:t>
      </w:r>
    </w:p>
    <w:p>
      <w:pPr>
        <w:pStyle w:val="Heading1"/>
      </w:pPr>
      <w:r>
        <w:t>6. Confidentiality</w:t>
      </w:r>
    </w:p>
    <w:p>
      <w:r>
        <w:t>This engagement involves access to sensitive citizen data, case records, and government systems architecture. All Meridian Strategy Partners staff assigned to this engagement operate under the signed Consulting Services Agreement, associated confidentiality provisions, and the Ministry's information security clearance requirements. Findings are to be shared only with the Steering Committee until formal communication to affected directorates is approved.</w:t>
      </w:r>
    </w:p>
    <w:p>
      <w:pPr>
        <w:pStyle w:val="Heading1"/>
      </w:pPr>
      <w:r>
        <w:t>7. Approval</w:t>
      </w:r>
    </w:p>
    <w:tbl>
      <w:tblPr>
        <w:tblStyle w:val="LightGrid-Accent1"/>
        <w:tblW w:type="auto" w:w="0"/>
        <w:tblLook w:firstColumn="1" w:firstRow="1" w:lastColumn="0" w:lastRow="0" w:noHBand="0" w:noVBand="1" w:val="04A0"/>
      </w:tblPr>
      <w:tblGrid>
        <w:gridCol w:w="4320"/>
        <w:gridCol w:w="4320"/>
      </w:tblGrid>
      <w:tr>
        <w:tc>
          <w:tcPr>
            <w:tcW w:type="dxa" w:w="4320"/>
          </w:tcPr>
          <w:p>
            <w:r>
              <w:rPr>
                <w:b/>
              </w:rPr>
              <w:t>Client:</w:t>
            </w:r>
          </w:p>
        </w:tc>
        <w:tc>
          <w:tcPr>
            <w:tcW w:type="dxa" w:w="4320"/>
          </w:tcPr>
          <w:p>
            <w:r>
              <w:t>State of Israel — Ministry of Justice</w:t>
            </w:r>
          </w:p>
        </w:tc>
      </w:tr>
      <w:tr>
        <w:tc>
          <w:tcPr>
            <w:tcW w:type="dxa" w:w="4320"/>
          </w:tcPr>
          <w:p>
            <w:r>
              <w:rPr>
                <w:b/>
              </w:rPr>
              <w:t>Engagement Sponsor:</w:t>
            </w:r>
          </w:p>
        </w:tc>
        <w:tc>
          <w:tcPr>
            <w:tcW w:type="dxa" w:w="4320"/>
          </w:tcPr>
          <w:p>
            <w:r>
              <w:t>Adv. Rachel Ben-Ami, Director General, Ministry of Justice</w:t>
            </w:r>
          </w:p>
        </w:tc>
      </w:tr>
      <w:tr>
        <w:tc>
          <w:tcPr>
            <w:tcW w:type="dxa" w:w="4320"/>
          </w:tcPr>
          <w:p>
            <w:r>
              <w:rPr>
                <w:b/>
              </w:rPr>
              <w:t>Client CIO:</w:t>
            </w:r>
          </w:p>
        </w:tc>
        <w:tc>
          <w:tcPr>
            <w:tcW w:type="dxa" w:w="4320"/>
          </w:tcPr>
          <w:p>
            <w:r>
              <w:t>Yoav Peretz, Chief Information Officer, Ministry of Justice</w:t>
            </w:r>
          </w:p>
        </w:tc>
      </w:tr>
      <w:tr>
        <w:tc>
          <w:tcPr>
            <w:tcW w:type="dxa" w:w="4320"/>
          </w:tcPr>
          <w:p>
            <w:r>
              <w:rPr>
                <w:b/>
              </w:rPr>
              <w:t>Consulting Firm:</w:t>
            </w:r>
          </w:p>
        </w:tc>
        <w:tc>
          <w:tcPr>
            <w:tcW w:type="dxa" w:w="4320"/>
          </w:tcPr>
          <w:p>
            <w:r>
              <w:t>Meridian Strategy Partners</w:t>
            </w:r>
          </w:p>
        </w:tc>
      </w:tr>
      <w:tr>
        <w:tc>
          <w:tcPr>
            <w:tcW w:type="dxa" w:w="4320"/>
          </w:tcPr>
          <w:p>
            <w:r>
              <w:rPr>
                <w:b/>
              </w:rPr>
              <w:t>Engagement Lead:</w:t>
            </w:r>
          </w:p>
        </w:tc>
        <w:tc>
          <w:tcPr>
            <w:tcW w:type="dxa" w:w="4320"/>
          </w:tcPr>
          <w:p>
            <w:r>
              <w:t>Maayan Chen, Principal Consultant</w:t>
            </w:r>
          </w:p>
        </w:tc>
      </w:tr>
      <w:tr>
        <w:tc>
          <w:tcPr>
            <w:tcW w:type="dxa" w:w="4320"/>
          </w:tcPr>
          <w:p>
            <w:r>
              <w:rPr>
                <w:b/>
              </w:rPr>
              <w:t>Document Date:</w:t>
            </w:r>
          </w:p>
        </w:tc>
        <w:tc>
          <w:tcPr>
            <w:tcW w:type="dxa" w:w="4320"/>
          </w:tcPr>
          <w:p>
            <w:r>
              <w:t>August 3, 2026</w:t>
            </w:r>
          </w:p>
        </w:tc>
      </w:tr>
      <w:tr>
        <w:tc>
          <w:tcPr>
            <w:tcW w:type="dxa" w:w="4320"/>
          </w:tcPr>
          <w:p>
            <w:r>
              <w:rPr>
                <w:b/>
              </w:rPr>
              <w:t>Document Status:</w:t>
            </w:r>
          </w:p>
        </w:tc>
        <w:tc>
          <w:tcPr>
            <w:tcW w:type="dxa" w:w="4320"/>
          </w:tcPr>
          <w:p>
            <w:r>
              <w:t>Final — Approved</w:t>
            </w:r>
          </w:p>
        </w:tc>
      </w:tr>
      <w:tr>
        <w:tc>
          <w:tcPr>
            <w:tcW w:type="dxa" w:w="4320"/>
          </w:tcPr>
          <w:p>
            <w:r>
              <w:rPr>
                <w:b/>
              </w:rPr>
              <w:t>Classification:</w:t>
            </w:r>
          </w:p>
        </w:tc>
        <w:tc>
          <w:tcPr>
            <w:tcW w:type="dxa" w:w="4320"/>
          </w:tcPr>
          <w:p>
            <w:r>
              <w:t>Confidential — Restricted Distribution</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Approved by (Client Sponsor):</w:t>
            </w:r>
          </w:p>
        </w:tc>
        <w:tc>
          <w:tcPr>
            <w:tcW w:type="dxa" w:w="4320"/>
          </w:tcPr>
          <w:p>
            <w:r>
              <w:t>Rachel Ben-Ami — [signed]</w:t>
            </w:r>
          </w:p>
        </w:tc>
      </w:tr>
      <w:tr>
        <w:tc>
          <w:tcPr>
            <w:tcW w:type="dxa" w:w="4320"/>
          </w:tcPr>
          <w:p>
            <w:r>
              <w:rPr>
                <w:b/>
              </w:rPr>
              <w:t>Approved by (Consulting Firm):</w:t>
            </w:r>
          </w:p>
        </w:tc>
        <w:tc>
          <w:tcPr>
            <w:tcW w:type="dxa" w:w="4320"/>
          </w:tcPr>
          <w:p>
            <w:r>
              <w:t>Maayan Chen — [signed]</w:t>
            </w:r>
          </w:p>
        </w:tc>
      </w:tr>
      <w:tr>
        <w:tc>
          <w:tcPr>
            <w:tcW w:type="dxa" w:w="4320"/>
          </w:tcPr>
          <w:p>
            <w:r>
              <w:rPr>
                <w:b/>
              </w:rPr>
              <w:t>Date:</w:t>
            </w:r>
          </w:p>
        </w:tc>
        <w:tc>
          <w:tcPr>
            <w:tcW w:type="dxa" w:w="4320"/>
          </w:tcPr>
          <w:p>
            <w:r>
              <w:t>August 3,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