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2"/>
          <w:szCs w:val="22"/>
        </w:rPr>
        <w:t xml:space="preserve">MERIDIAN STRATEGY PARTNERS</w:t>
      </w:r>
    </w:p>
    <w:p>
      <w:pPr>
        <w:spacing w:after="400"/>
        <w:jc w:val="center"/>
      </w:pPr>
      <w:r>
        <w:rPr>
          <w:i/>
          <w:iCs/>
          <w:color w:val="666666"/>
          <w:sz w:val="18"/>
          <w:szCs w:val="18"/>
        </w:rPr>
        <w:t xml:space="preserve">Organizational Effectiveness &amp; Workforce Strategy</w:t>
      </w:r>
    </w:p>
    <w:p>
      <w:pPr>
        <w:spacing w:after="100"/>
        <w:jc w:val="center"/>
      </w:pPr>
      <w:r>
        <w:rPr>
          <w:b/>
          <w:bCs/>
          <w:color w:val="1F3864"/>
          <w:sz w:val="34"/>
          <w:szCs w:val="34"/>
        </w:rPr>
        <w:t xml:space="preserve">PROJECT CHARTER &amp; STATEMENT OF WORK</w:t>
      </w:r>
    </w:p>
    <w:p>
      <w:pPr>
        <w:spacing w:after="400"/>
        <w:jc w:val="center"/>
      </w:pPr>
      <w:r>
        <w:rPr>
          <w:color w:val="1F3864"/>
          <w:sz w:val="24"/>
          <w:szCs w:val="24"/>
        </w:rPr>
        <w:t xml:space="preserve">HQ Finance Function — Organizational Streamlining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fill="F2F2F2" w:val="clear"/>
          </w:tcPr>
          <w:p>
            <w:r>
              <w:rPr>
                <w:b/>
                <w:bCs/>
                <w:sz w:val="20"/>
                <w:szCs w:val="20"/>
              </w:rPr>
              <w:t xml:space="preserve">Client:</w:t>
            </w:r>
          </w:p>
        </w:tc>
        <w:tc>
          <w:tcPr>
            <w:tcW w:type="dxa" w:w="6560"/>
          </w:tcPr>
          <w:p>
            <w:r>
              <w:rPr>
                <w:sz w:val="20"/>
                <w:szCs w:val="20"/>
              </w:rPr>
              <w:t xml:space="preserve">Teva Pharmaceuticals Ltd. — HQ Finance Function</w:t>
            </w:r>
          </w:p>
        </w:tc>
      </w:tr>
      <w:tr>
        <w:tc>
          <w:tcPr>
            <w:tcW w:type="dxa" w:w="2800"/>
            <w:shd w:fill="F2F2F2" w:val="clear"/>
          </w:tcPr>
          <w:p>
            <w:r>
              <w:rPr>
                <w:b/>
                <w:bCs/>
                <w:sz w:val="20"/>
                <w:szCs w:val="20"/>
              </w:rPr>
              <w:t xml:space="preserve">Engagement Sponsor:</w:t>
            </w:r>
          </w:p>
        </w:tc>
        <w:tc>
          <w:tcPr>
            <w:tcW w:type="dxa" w:w="6560"/>
          </w:tcPr>
          <w:p>
            <w:r>
              <w:rPr>
                <w:sz w:val="20"/>
                <w:szCs w:val="20"/>
              </w:rPr>
              <w:t xml:space="preserve">David Katz, VP Finance, HQ</w:t>
            </w:r>
          </w:p>
        </w:tc>
      </w:tr>
      <w:tr>
        <w:tc>
          <w:tcPr>
            <w:tcW w:type="dxa" w:w="2800"/>
            <w:shd w:fill="F2F2F2" w:val="clear"/>
          </w:tcPr>
          <w:p>
            <w:r>
              <w:rPr>
                <w:b/>
                <w:bCs/>
                <w:sz w:val="20"/>
                <w:szCs w:val="20"/>
              </w:rPr>
              <w:t xml:space="preserve">Client HR Lead:</w:t>
            </w:r>
          </w:p>
        </w:tc>
        <w:tc>
          <w:tcPr>
            <w:tcW w:type="dxa" w:w="6560"/>
          </w:tcPr>
          <w:p>
            <w:r>
              <w:rPr>
                <w:sz w:val="20"/>
                <w:szCs w:val="20"/>
              </w:rPr>
              <w:t xml:space="preserve">Ronit Levi, VP HR Business Partner</w:t>
            </w:r>
          </w:p>
        </w:tc>
      </w:tr>
      <w:tr>
        <w:tc>
          <w:tcPr>
            <w:tcW w:type="dxa" w:w="2800"/>
            <w:shd w:fill="F2F2F2" w:val="clear"/>
          </w:tcPr>
          <w:p>
            <w:r>
              <w:rPr>
                <w:b/>
                <w:bCs/>
                <w:sz w:val="20"/>
                <w:szCs w:val="20"/>
              </w:rPr>
              <w:t xml:space="preserve">Consulting Firm:</w:t>
            </w:r>
          </w:p>
        </w:tc>
        <w:tc>
          <w:tcPr>
            <w:tcW w:type="dxa" w:w="6560"/>
          </w:tcPr>
          <w:p>
            <w:r>
              <w:rPr>
                <w:sz w:val="20"/>
                <w:szCs w:val="20"/>
              </w:rPr>
              <w:t xml:space="preserve">Meridian Strategy Partners</w:t>
            </w:r>
          </w:p>
        </w:tc>
      </w:tr>
      <w:tr>
        <w:tc>
          <w:tcPr>
            <w:tcW w:type="dxa" w:w="2800"/>
            <w:shd w:fill="F2F2F2" w:val="clear"/>
          </w:tcPr>
          <w:p>
            <w:r>
              <w:rPr>
                <w:b/>
                <w:bCs/>
                <w:sz w:val="20"/>
                <w:szCs w:val="20"/>
              </w:rPr>
              <w:t xml:space="preserve">Engagement Lead:</w:t>
            </w:r>
          </w:p>
        </w:tc>
        <w:tc>
          <w:tcPr>
            <w:tcW w:type="dxa" w:w="6560"/>
          </w:tcPr>
          <w:p>
            <w:r>
              <w:rPr>
                <w:sz w:val="20"/>
                <w:szCs w:val="20"/>
              </w:rPr>
              <w:t xml:space="preserve">Maayan Chen, Principal Consultant</w:t>
            </w:r>
          </w:p>
        </w:tc>
      </w:tr>
      <w:tr>
        <w:tc>
          <w:tcPr>
            <w:tcW w:type="dxa" w:w="2800"/>
            <w:shd w:fill="F2F2F2" w:val="clear"/>
          </w:tcPr>
          <w:p>
            <w:r>
              <w:rPr>
                <w:b/>
                <w:bCs/>
                <w:sz w:val="20"/>
                <w:szCs w:val="20"/>
              </w:rPr>
              <w:t xml:space="preserve">Document Date:</w:t>
            </w:r>
          </w:p>
        </w:tc>
        <w:tc>
          <w:tcPr>
            <w:tcW w:type="dxa" w:w="6560"/>
          </w:tcPr>
          <w:p>
            <w:r>
              <w:rPr>
                <w:sz w:val="20"/>
                <w:szCs w:val="20"/>
              </w:rPr>
              <w:t xml:space="preserve">August 3, 2026</w:t>
            </w:r>
          </w:p>
        </w:tc>
      </w:tr>
      <w:tr>
        <w:tc>
          <w:tcPr>
            <w:tcW w:type="dxa" w:w="2800"/>
            <w:shd w:fill="F2F2F2" w:val="clear"/>
          </w:tcPr>
          <w:p>
            <w:r>
              <w:rPr>
                <w:b/>
                <w:bCs/>
                <w:sz w:val="20"/>
                <w:szCs w:val="20"/>
              </w:rPr>
              <w:t xml:space="preserve">Document Status:</w:t>
            </w:r>
          </w:p>
        </w:tc>
        <w:tc>
          <w:tcPr>
            <w:tcW w:type="dxa" w:w="6560"/>
          </w:tcPr>
          <w:p>
            <w:r>
              <w:rPr>
                <w:sz w:val="20"/>
                <w:szCs w:val="20"/>
              </w:rPr>
              <w:t xml:space="preserve">Final — Approved</w:t>
            </w:r>
          </w:p>
        </w:tc>
      </w:tr>
      <w:tr>
        <w:tc>
          <w:tcPr>
            <w:tcW w:type="dxa" w:w="2800"/>
            <w:shd w:fill="F2F2F2" w:val="clear"/>
          </w:tcPr>
          <w:p>
            <w:r>
              <w:rPr>
                <w:b/>
                <w:bCs/>
                <w:sz w:val="20"/>
                <w:szCs w:val="20"/>
              </w:rPr>
              <w:t xml:space="preserve">Classification:</w:t>
            </w:r>
          </w:p>
        </w:tc>
        <w:tc>
          <w:tcPr>
            <w:tcW w:type="dxa" w:w="6560"/>
          </w:tcPr>
          <w:p>
            <w:r>
              <w:rPr>
                <w:sz w:val="20"/>
                <w:szCs w:val="20"/>
              </w:rPr>
              <w:t xml:space="preserve">Confidential — Restricted Distribution</w:t>
            </w:r>
          </w:p>
        </w:tc>
      </w:tr>
    </w:tbl>
    <w:p>
      <w:r>
        <w:br w:type="page"/>
      </w:r>
    </w:p>
    <w:p>
      <w:pPr>
        <w:pStyle w:val="Heading1"/>
        <w:spacing w:after="140" w:before="280"/>
      </w:pPr>
      <w:r>
        <w:t xml:space="preserve">1. Background &amp; Business Context</w:t>
      </w:r>
    </w:p>
    <w:p>
      <w:pPr>
        <w:spacing w:after="160"/>
      </w:pPr>
      <w:r>
        <w:rPr>
          <w:sz w:val="21"/>
          <w:szCs w:val="21"/>
        </w:rPr>
        <w:t xml:space="preserve">Teva's HQ Finance function has grown organically over the past several years through a series of ad-hoc hires responding to point-in-time needs across FP&amp;A, Controllership, and Procurement Finance. A recent internal review noted average span of control across management layers is below leading-practice benchmarks (2.8 direct reports vs. a 5–7 target for transactional finance teams), and role scope overlaps exist between the Controllership and Statutory Reporting sub-teams.</w:t>
      </w:r>
    </w:p>
    <w:p>
      <w:pPr>
        <w:spacing w:after="160"/>
      </w:pPr>
      <w:r>
        <w:rPr>
          <w:sz w:val="21"/>
          <w:szCs w:val="21"/>
        </w:rPr>
        <w:t xml:space="preserve">Teva has engaged Meridian Strategy Partners to conduct an independent organizational assessment of the HQ Finance function, identify opportunities to streamline structure and reduce redundancy, and deliver an implementation-ready future-state design.</w:t>
      </w:r>
    </w:p>
    <w:p>
      <w:pPr>
        <w:spacing w:after="160"/>
      </w:pPr>
      <w:r>
        <w:rPr>
          <w:i/>
          <w:iCs/>
          <w:color w:val="666666"/>
          <w:sz w:val="18"/>
          <w:szCs w:val="18"/>
        </w:rPr>
        <w:t xml:space="preserve">Note: This document contains fictional placeholder data prepared for internal project simulation purposes.</w:t>
      </w:r>
    </w:p>
    <w:p>
      <w:pPr>
        <w:pStyle w:val="Heading1"/>
        <w:spacing w:after="140" w:before="280"/>
      </w:pPr>
      <w:r>
        <w:t xml:space="preserve">2. Objectives</w:t>
      </w:r>
    </w:p>
    <w:p>
      <w:pPr>
        <w:pStyle w:val="ListParagraph"/>
        <w:numPr>
          <w:ilvl w:val="0"/>
          <w:numId w:val="1"/>
        </w:numPr>
        <w:spacing w:after="80"/>
      </w:pPr>
      <w:r>
        <w:rPr>
          <w:sz w:val="21"/>
          <w:szCs w:val="21"/>
        </w:rPr>
        <w:t xml:space="preserve">Assess current-state organizational structure, headcount, span of control, and role scope across HQ Finance (FP&amp;A, Controllership, Procurement Finance).</w:t>
      </w:r>
    </w:p>
    <w:p>
      <w:pPr>
        <w:pStyle w:val="ListParagraph"/>
        <w:numPr>
          <w:ilvl w:val="0"/>
          <w:numId w:val="1"/>
        </w:numPr>
        <w:spacing w:after="80"/>
      </w:pPr>
      <w:r>
        <w:rPr>
          <w:sz w:val="21"/>
          <w:szCs w:val="21"/>
        </w:rPr>
        <w:t xml:space="preserve">Identify structural redundancies, layering inefficiencies, and consolidation opportunities.</w:t>
      </w:r>
    </w:p>
    <w:p>
      <w:pPr>
        <w:pStyle w:val="ListParagraph"/>
        <w:numPr>
          <w:ilvl w:val="0"/>
          <w:numId w:val="1"/>
        </w:numPr>
        <w:spacing w:after="80"/>
      </w:pPr>
      <w:r>
        <w:rPr>
          <w:sz w:val="21"/>
          <w:szCs w:val="21"/>
        </w:rPr>
        <w:t xml:space="preserve">Model at least two future-state organizational scenarios with associated cost, risk, and implementation timeline.</w:t>
      </w:r>
    </w:p>
    <w:p>
      <w:pPr>
        <w:pStyle w:val="ListParagraph"/>
        <w:numPr>
          <w:ilvl w:val="0"/>
          <w:numId w:val="1"/>
        </w:numPr>
        <w:spacing w:after="80"/>
      </w:pPr>
      <w:r>
        <w:rPr>
          <w:sz w:val="21"/>
          <w:szCs w:val="21"/>
        </w:rPr>
        <w:t xml:space="preserve">Deliver a recommended target operating model with an implementation roadmap and change management plan.</w:t>
      </w:r>
    </w:p>
    <w:p>
      <w:pPr>
        <w:pStyle w:val="ListParagraph"/>
        <w:numPr>
          <w:ilvl w:val="0"/>
          <w:numId w:val="1"/>
        </w:numPr>
        <w:spacing w:after="80"/>
      </w:pPr>
      <w:r>
        <w:rPr>
          <w:sz w:val="21"/>
          <w:szCs w:val="21"/>
        </w:rPr>
        <w:t xml:space="preserve">Support leadership through the consultation and communication process in compliance with applicable Israeli labor law.</w:t>
      </w:r>
    </w:p>
    <w:p>
      <w:pPr>
        <w:pStyle w:val="Heading1"/>
        <w:spacing w:after="140" w:before="280"/>
      </w:pPr>
      <w:r>
        <w:t xml:space="preserve">3. Scope of Work</w:t>
      </w:r>
    </w:p>
    <w:p>
      <w:pPr>
        <w:pStyle w:val="Heading2"/>
        <w:spacing w:after="100" w:before="200"/>
      </w:pPr>
      <w:r>
        <w:t xml:space="preserve">3.1 In Scope</w:t>
      </w:r>
    </w:p>
    <w:p>
      <w:pPr>
        <w:pStyle w:val="ListParagraph"/>
        <w:numPr>
          <w:ilvl w:val="0"/>
          <w:numId w:val="1"/>
        </w:numPr>
        <w:spacing w:after="80"/>
      </w:pPr>
      <w:r>
        <w:rPr>
          <w:sz w:val="21"/>
          <w:szCs w:val="21"/>
        </w:rPr>
        <w:t xml:space="preserve">HQ Finance organization: Finance Leadership, FP&amp;A, Controllership, Procurement Finance (25 FTE, Tel Aviv HQ).</w:t>
      </w:r>
    </w:p>
    <w:p>
      <w:pPr>
        <w:pStyle w:val="ListParagraph"/>
        <w:numPr>
          <w:ilvl w:val="0"/>
          <w:numId w:val="1"/>
        </w:numPr>
        <w:spacing w:after="80"/>
      </w:pPr>
      <w:r>
        <w:rPr>
          <w:sz w:val="21"/>
          <w:szCs w:val="21"/>
        </w:rPr>
        <w:t xml:space="preserve">Current-state data collection: HRIS extract reconciliation, role scope interviews, span of control analysis.</w:t>
      </w:r>
    </w:p>
    <w:p>
      <w:pPr>
        <w:pStyle w:val="ListParagraph"/>
        <w:numPr>
          <w:ilvl w:val="0"/>
          <w:numId w:val="1"/>
        </w:numPr>
        <w:spacing w:after="80"/>
      </w:pPr>
      <w:r>
        <w:rPr>
          <w:sz w:val="21"/>
          <w:szCs w:val="21"/>
        </w:rPr>
        <w:t xml:space="preserve">Future-state design: minimum two scenarios (moderate and aggressive consolidation).</w:t>
      </w:r>
    </w:p>
    <w:p>
      <w:pPr>
        <w:pStyle w:val="ListParagraph"/>
        <w:numPr>
          <w:ilvl w:val="0"/>
          <w:numId w:val="1"/>
        </w:numPr>
        <w:spacing w:after="80"/>
      </w:pPr>
      <w:r>
        <w:rPr>
          <w:sz w:val="21"/>
          <w:szCs w:val="21"/>
        </w:rPr>
        <w:t xml:space="preserve">Financial modeling: payroll cost, severance estimate, run-rate savings, payback period.</w:t>
      </w:r>
    </w:p>
    <w:p>
      <w:pPr>
        <w:pStyle w:val="ListParagraph"/>
        <w:numPr>
          <w:ilvl w:val="0"/>
          <w:numId w:val="1"/>
        </w:numPr>
        <w:spacing w:after="80"/>
      </w:pPr>
      <w:r>
        <w:rPr>
          <w:sz w:val="21"/>
          <w:szCs w:val="21"/>
        </w:rPr>
        <w:t xml:space="preserve">Steering Committee reporting: bi-weekly status updates and milestone presentations.</w:t>
      </w:r>
    </w:p>
    <w:p>
      <w:pPr>
        <w:pStyle w:val="Heading2"/>
        <w:spacing w:after="100" w:before="200"/>
      </w:pPr>
      <w:r>
        <w:t xml:space="preserve">3.2 Out of Scope</w:t>
      </w:r>
    </w:p>
    <w:p>
      <w:pPr>
        <w:pStyle w:val="ListParagraph"/>
        <w:numPr>
          <w:ilvl w:val="0"/>
          <w:numId w:val="1"/>
        </w:numPr>
        <w:spacing w:after="80"/>
      </w:pPr>
      <w:r>
        <w:rPr>
          <w:sz w:val="21"/>
          <w:szCs w:val="21"/>
        </w:rPr>
        <w:t xml:space="preserve">Manufacturing, R&amp;D, or Commercial function organizational design.</w:t>
      </w:r>
    </w:p>
    <w:p>
      <w:pPr>
        <w:pStyle w:val="ListParagraph"/>
        <w:numPr>
          <w:ilvl w:val="0"/>
          <w:numId w:val="1"/>
        </w:numPr>
        <w:spacing w:after="80"/>
      </w:pPr>
      <w:r>
        <w:rPr>
          <w:sz w:val="21"/>
          <w:szCs w:val="21"/>
        </w:rPr>
        <w:t xml:space="preserve">Compensation &amp; benefits redesign (Total Rewards philosophy).</w:t>
      </w:r>
    </w:p>
    <w:p>
      <w:pPr>
        <w:pStyle w:val="ListParagraph"/>
        <w:numPr>
          <w:ilvl w:val="0"/>
          <w:numId w:val="1"/>
        </w:numPr>
        <w:spacing w:after="80"/>
      </w:pPr>
      <w:r>
        <w:rPr>
          <w:sz w:val="21"/>
          <w:szCs w:val="21"/>
        </w:rPr>
        <w:t xml:space="preserve">Individual performance management or disciplinary matters.</w:t>
      </w:r>
    </w:p>
    <w:p>
      <w:pPr>
        <w:pStyle w:val="ListParagraph"/>
        <w:numPr>
          <w:ilvl w:val="0"/>
          <w:numId w:val="1"/>
        </w:numPr>
        <w:spacing w:after="80"/>
      </w:pPr>
      <w:r>
        <w:rPr>
          <w:sz w:val="21"/>
          <w:szCs w:val="21"/>
        </w:rPr>
        <w:t xml:space="preserve">Legal execution of termination notices (Teva Legal and HR retain this responsibility).</w:t>
      </w:r>
    </w:p>
    <w:p>
      <w:pPr>
        <w:pStyle w:val="Heading1"/>
        <w:spacing w:after="140" w:before="280"/>
      </w:pPr>
      <w:r>
        <w:t xml:space="preserve">4. Deliverables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shd w:fill="1F3864" w:val="clear"/>
          </w:tcPr>
          <w:p>
            <w:r>
              <w:rPr>
                <w:b/>
                <w:bCs/>
                <w:color w:val="FFFFFF"/>
                <w:sz w:val="20"/>
                <w:szCs w:val="20"/>
              </w:rPr>
              <w:t xml:space="preserve">Phase</w:t>
            </w:r>
          </w:p>
        </w:tc>
        <w:tc>
          <w:tcPr>
            <w:tcW w:type="dxa" w:w="3120"/>
            <w:shd w:fill="1F3864" w:val="clear"/>
          </w:tcPr>
          <w:p>
            <w:r>
              <w:rPr>
                <w:b/>
                <w:bCs/>
                <w:color w:val="FFFFFF"/>
                <w:sz w:val="20"/>
                <w:szCs w:val="20"/>
              </w:rPr>
              <w:t xml:space="preserve">Deliverable</w:t>
            </w:r>
          </w:p>
        </w:tc>
        <w:tc>
          <w:tcPr>
            <w:tcW w:type="dxa" w:w="3120"/>
            <w:shd w:fill="1F3864" w:val="clear"/>
          </w:tcPr>
          <w:p>
            <w:r>
              <w:rPr>
                <w:b/>
                <w:bCs/>
                <w:color w:val="FFFFFF"/>
                <w:sz w:val="20"/>
                <w:szCs w:val="20"/>
              </w:rPr>
              <w:t xml:space="preserve">Target Completion</w:t>
            </w:r>
          </w:p>
        </w:tc>
      </w:tr>
      <w:tr>
        <w:tc>
          <w:tcPr>
            <w:tcW w:type="dxa" w:w="3120"/>
          </w:tcPr>
          <w:p>
            <w:r>
              <w:rPr>
                <w:sz w:val="19"/>
                <w:szCs w:val="19"/>
              </w:rPr>
              <w:t xml:space="preserve">Phase 1: Discovery</w:t>
            </w:r>
          </w:p>
        </w:tc>
        <w:tc>
          <w:tcPr>
            <w:tcW w:type="dxa" w:w="3120"/>
          </w:tcPr>
          <w:p>
            <w:r>
              <w:rPr>
                <w:sz w:val="19"/>
                <w:szCs w:val="19"/>
              </w:rPr>
              <w:t xml:space="preserve">Current-state org roster, headcount summary, span of control analysis</w:t>
            </w:r>
          </w:p>
        </w:tc>
        <w:tc>
          <w:tcPr>
            <w:tcW w:type="dxa" w:w="3120"/>
          </w:tcPr>
          <w:p>
            <w:r>
              <w:rPr>
                <w:sz w:val="19"/>
                <w:szCs w:val="19"/>
              </w:rPr>
              <w:t xml:space="preserve">Aug 15, 2026</w:t>
            </w:r>
          </w:p>
        </w:tc>
      </w:tr>
      <w:tr>
        <w:tc>
          <w:tcPr>
            <w:tcW w:type="dxa" w:w="3120"/>
          </w:tcPr>
          <w:p>
            <w:r>
              <w:rPr>
                <w:sz w:val="19"/>
                <w:szCs w:val="19"/>
              </w:rPr>
              <w:t xml:space="preserve">Phase 2: Diagnosis</w:t>
            </w:r>
          </w:p>
        </w:tc>
        <w:tc>
          <w:tcPr>
            <w:tcW w:type="dxa" w:w="3120"/>
          </w:tcPr>
          <w:p>
            <w:r>
              <w:rPr>
                <w:sz w:val="19"/>
                <w:szCs w:val="19"/>
              </w:rPr>
              <w:t xml:space="preserve">Diagnostic findings deck, interview summary</w:t>
            </w:r>
          </w:p>
        </w:tc>
        <w:tc>
          <w:tcPr>
            <w:tcW w:type="dxa" w:w="3120"/>
          </w:tcPr>
          <w:p>
            <w:r>
              <w:rPr>
                <w:sz w:val="19"/>
                <w:szCs w:val="19"/>
              </w:rPr>
              <w:t xml:space="preserve">Aug 29, 2026</w:t>
            </w:r>
          </w:p>
        </w:tc>
      </w:tr>
      <w:tr>
        <w:tc>
          <w:tcPr>
            <w:tcW w:type="dxa" w:w="3120"/>
          </w:tcPr>
          <w:p>
            <w:r>
              <w:rPr>
                <w:sz w:val="19"/>
                <w:szCs w:val="19"/>
              </w:rPr>
              <w:t xml:space="preserve">Phase 3: Design</w:t>
            </w:r>
          </w:p>
        </w:tc>
        <w:tc>
          <w:tcPr>
            <w:tcW w:type="dxa" w:w="3120"/>
          </w:tcPr>
          <w:p>
            <w:r>
              <w:rPr>
                <w:sz w:val="19"/>
                <w:szCs w:val="19"/>
              </w:rPr>
              <w:t xml:space="preserve">Future-state scenario comparison model</w:t>
            </w:r>
          </w:p>
        </w:tc>
        <w:tc>
          <w:tcPr>
            <w:tcW w:type="dxa" w:w="3120"/>
          </w:tcPr>
          <w:p>
            <w:r>
              <w:rPr>
                <w:sz w:val="19"/>
                <w:szCs w:val="19"/>
              </w:rPr>
              <w:t xml:space="preserve">Sep 19, 2026</w:t>
            </w:r>
          </w:p>
        </w:tc>
      </w:tr>
      <w:tr>
        <w:tc>
          <w:tcPr>
            <w:tcW w:type="dxa" w:w="3120"/>
          </w:tcPr>
          <w:p>
            <w:r>
              <w:rPr>
                <w:sz w:val="19"/>
                <w:szCs w:val="19"/>
              </w:rPr>
              <w:t xml:space="preserve">Phase 4: Recommendation</w:t>
            </w:r>
          </w:p>
        </w:tc>
        <w:tc>
          <w:tcPr>
            <w:tcW w:type="dxa" w:w="3120"/>
          </w:tcPr>
          <w:p>
            <w:r>
              <w:rPr>
                <w:sz w:val="19"/>
                <w:szCs w:val="19"/>
              </w:rPr>
              <w:t xml:space="preserve">Executive Steering Committee recommendation deck</w:t>
            </w:r>
          </w:p>
        </w:tc>
        <w:tc>
          <w:tcPr>
            <w:tcW w:type="dxa" w:w="3120"/>
          </w:tcPr>
          <w:p>
            <w:r>
              <w:rPr>
                <w:sz w:val="19"/>
                <w:szCs w:val="19"/>
              </w:rPr>
              <w:t xml:space="preserve">Sep 30, 2026</w:t>
            </w:r>
          </w:p>
        </w:tc>
      </w:tr>
      <w:tr>
        <w:tc>
          <w:tcPr>
            <w:tcW w:type="dxa" w:w="3120"/>
          </w:tcPr>
          <w:p>
            <w:r>
              <w:rPr>
                <w:sz w:val="19"/>
                <w:szCs w:val="19"/>
              </w:rPr>
              <w:t xml:space="preserve">Phase 5: Implementation Support</w:t>
            </w:r>
          </w:p>
        </w:tc>
        <w:tc>
          <w:tcPr>
            <w:tcW w:type="dxa" w:w="3120"/>
          </w:tcPr>
          <w:p>
            <w:r>
              <w:rPr>
                <w:sz w:val="19"/>
                <w:szCs w:val="19"/>
              </w:rPr>
              <w:t xml:space="preserve">Consultation support, communication toolkit</w:t>
            </w:r>
          </w:p>
        </w:tc>
        <w:tc>
          <w:tcPr>
            <w:tcW w:type="dxa" w:w="3120"/>
          </w:tcPr>
          <w:p>
            <w:r>
              <w:rPr>
                <w:sz w:val="19"/>
                <w:szCs w:val="19"/>
              </w:rPr>
              <w:t xml:space="preserve">Oct–Nov 2026</w:t>
            </w:r>
          </w:p>
        </w:tc>
      </w:tr>
    </w:tbl>
    <w:p>
      <w:pPr>
        <w:pStyle w:val="Heading1"/>
        <w:spacing w:after="140" w:before="280"/>
      </w:pPr>
      <w:r>
        <w:t xml:space="preserve">5. Governance</w:t>
      </w:r>
    </w:p>
    <w:p>
      <w:pPr>
        <w:spacing w:after="160"/>
      </w:pPr>
      <w:r>
        <w:rPr>
          <w:sz w:val="21"/>
          <w:szCs w:val="21"/>
        </w:rPr>
        <w:t xml:space="preserve">A Steering Committee comprising David Katz (VP Finance, HQ), Ronit Levi (VP HR Business Partner), and Maayan Chen (Engagement Lead) will meet bi-weekly to review progress, approve scenario direction, and resolve escalations. Working sessions with sub-team managers will be scheduled as needed during Discovery and Design phases.</w:t>
      </w:r>
    </w:p>
    <w:p>
      <w:pPr>
        <w:pStyle w:val="Heading1"/>
        <w:spacing w:after="140" w:before="280"/>
      </w:pPr>
      <w:r>
        <w:t xml:space="preserve">6. Confidentiality</w:t>
      </w:r>
    </w:p>
    <w:p>
      <w:pPr>
        <w:spacing w:after="160"/>
      </w:pPr>
      <w:r>
        <w:rPr>
          <w:color w:val="C00000"/>
          <w:sz w:val="21"/>
          <w:szCs w:val="21"/>
        </w:rPr>
        <w:t xml:space="preserve">This engagement involves access to sensitive personnel and compensation data. All Meridian Strategy Partners staff assigned to this engagement operate under the signed Consulting Services Agreement and associated confidentiality provisions. Findings are to be shared only with the Steering Committee until formal communication to affected teams is approved.</w:t>
      </w:r>
    </w:p>
    <w:p>
      <w:pPr>
        <w:pStyle w:val="Heading1"/>
        <w:spacing w:after="140" w:before="280"/>
      </w:pPr>
      <w:r>
        <w:t xml:space="preserve">7.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fill="F2F2F2" w:val="clear"/>
          </w:tcPr>
          <w:p>
            <w:r>
              <w:rPr>
                <w:b/>
                <w:bCs/>
                <w:sz w:val="20"/>
                <w:szCs w:val="20"/>
              </w:rPr>
              <w:t xml:space="preserve">Approved by (Client Sponsor):</w:t>
            </w:r>
          </w:p>
        </w:tc>
        <w:tc>
          <w:tcPr>
            <w:tcW w:type="dxa" w:w="6560"/>
          </w:tcPr>
          <w:p>
            <w:r>
              <w:rPr>
                <w:sz w:val="20"/>
                <w:szCs w:val="20"/>
              </w:rPr>
              <w:t xml:space="preserve">David Katz — [signed]</w:t>
            </w:r>
          </w:p>
        </w:tc>
      </w:tr>
      <w:tr>
        <w:tc>
          <w:tcPr>
            <w:tcW w:type="dxa" w:w="2800"/>
            <w:shd w:fill="F2F2F2" w:val="clear"/>
          </w:tcPr>
          <w:p>
            <w:r>
              <w:rPr>
                <w:b/>
                <w:bCs/>
                <w:sz w:val="20"/>
                <w:szCs w:val="20"/>
              </w:rPr>
              <w:t xml:space="preserve">Approved by (Consulting Firm):</w:t>
            </w:r>
          </w:p>
        </w:tc>
        <w:tc>
          <w:tcPr>
            <w:tcW w:type="dxa" w:w="6560"/>
          </w:tcPr>
          <w:p>
            <w:r>
              <w:rPr>
                <w:sz w:val="20"/>
                <w:szCs w:val="20"/>
              </w:rPr>
              <w:t xml:space="preserve">Maayan Chen — [signed]</w:t>
            </w:r>
          </w:p>
        </w:tc>
      </w:tr>
      <w:tr>
        <w:tc>
          <w:tcPr>
            <w:tcW w:type="dxa" w:w="2800"/>
            <w:shd w:fill="F2F2F2" w:val="clear"/>
          </w:tcPr>
          <w:p>
            <w:r>
              <w:rPr>
                <w:b/>
                <w:bCs/>
                <w:sz w:val="20"/>
                <w:szCs w:val="20"/>
              </w:rPr>
              <w:t xml:space="preserve">Date:</w:t>
            </w:r>
          </w:p>
        </w:tc>
        <w:tc>
          <w:tcPr>
            <w:tcW w:type="dxa" w:w="6560"/>
          </w:tcPr>
          <w:p>
            <w:r>
              <w:rPr>
                <w:sz w:val="20"/>
                <w:szCs w:val="20"/>
              </w:rPr>
              <w:t xml:space="preserve">August 3,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Confidential — Meridian Strategy Partners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2026-08-20T11:51:11.236Z</dcterms:created>
  <dcterms:modified xsi:type="dcterms:W3CDTF">2026-08-20T11:51:11.241Z</dcterms:modified>
</cp:coreProperties>
</file>

<file path=docProps/custom.xml><?xml version="1.0" encoding="utf-8"?>
<Properties xmlns="http://schemas.openxmlformats.org/officeDocument/2006/custom-properties" xmlns:vt="http://schemas.openxmlformats.org/officeDocument/2006/docPropsVTypes"/>
</file>