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pPr>
      <w:r>
        <w:rPr>
          <w:b/>
          <w:i w:val="0"/>
          <w:color w:val="1F3864"/>
          <w:sz w:val="26"/>
        </w:rPr>
        <w:t>מרידיאן אסטרטגיה בע"מ</w:t>
      </w:r>
    </w:p>
    <w:p>
      <w:pPr>
        <w:jc w:val="center"/>
        <w:bidi/>
      </w:pPr>
      <w:r>
        <w:rPr>
          <w:b w:val="0"/>
          <w:i/>
          <w:color w:val="595959"/>
          <w:sz w:val="20"/>
        </w:rPr>
        <w:t>ייעוץ מיזוגים ורכישות ואינטגרציה ארגונית</w:t>
      </w:r>
    </w:p>
    <w:p/>
    <w:p>
      <w:pPr>
        <w:jc w:val="center"/>
        <w:bidi/>
      </w:pPr>
      <w:r>
        <w:rPr>
          <w:b/>
          <w:i w:val="0"/>
          <w:color w:val="1F3864"/>
          <w:sz w:val="36"/>
        </w:rPr>
        <w:t>סיכום ישיבת דירקטוריון — אישור עסקת רכישה</w:t>
      </w:r>
    </w:p>
    <w:p>
      <w:pPr>
        <w:jc w:val="center"/>
        <w:bidi/>
      </w:pPr>
      <w:r>
        <w:rPr>
          <w:b w:val="0"/>
          <w:i/>
          <w:color w:val="595959"/>
          <w:sz w:val="22"/>
        </w:rPr>
        <w:t>רכישת חברת PGTech Health Solutions בע"מ</w:t>
      </w:r>
    </w:p>
    <w:p>
      <w:pPr>
        <w:jc w:val="center"/>
        <w:bidi/>
      </w:pPr>
      <w:r>
        <w:rPr>
          <w:b w:val="0"/>
          <w:i/>
          <w:color w:val="595959"/>
          <w:sz w:val="18"/>
        </w:rPr>
        <w:t>מסמך זה מכיל תוכן פיקטיבי לצורך סימולציה פנימית של פרויקט בלבד.</w:t>
      </w:r>
    </w:p>
    <w:p/>
    <w:p>
      <w:pPr>
        <w:jc w:val="right"/>
        <w:bidi/>
      </w:pPr>
      <w:r>
        <w:rPr>
          <w:b w:val="0"/>
          <w:i w:val="0"/>
          <w:sz w:val="20"/>
        </w:rPr>
        <w:t>תאריך הישיבה: 2 בספטמבר 2026</w:t>
      </w:r>
    </w:p>
    <w:p>
      <w:pPr>
        <w:jc w:val="right"/>
        <w:bidi/>
      </w:pPr>
      <w:r>
        <w:rPr>
          <w:b w:val="0"/>
          <w:i w:val="0"/>
          <w:sz w:val="20"/>
        </w:rPr>
        <w:t>מיקום: משרדי טבע, פתח תקווה</w:t>
      </w:r>
    </w:p>
    <w:p>
      <w:pPr>
        <w:jc w:val="right"/>
        <w:bidi/>
      </w:pPr>
      <w:r>
        <w:rPr>
          <w:b w:val="0"/>
          <w:i/>
          <w:color w:val="595959"/>
          <w:sz w:val="18"/>
        </w:rPr>
        <w:t>סודי — לחברי הדירקטוריון וההנהלה הבכירה בלבד</w:t>
      </w:r>
    </w:p>
    <w:p/>
    <w:p>
      <w:pPr>
        <w:jc w:val="right"/>
        <w:bidi/>
      </w:pPr>
      <w:r>
        <w:rPr>
          <w:b/>
          <w:i w:val="0"/>
          <w:color w:val="1F3864"/>
          <w:sz w:val="26"/>
        </w:rPr>
        <w:t>משתתפים</w:t>
      </w:r>
    </w:p>
    <w:p>
      <w:pPr>
        <w:pStyle w:val="ListBullet"/>
        <w:jc w:val="right"/>
        <w:bidi/>
      </w:pPr>
      <w:r>
        <w:rPr>
          <w:b w:val="0"/>
          <w:i w:val="0"/>
          <w:sz w:val="20"/>
        </w:rPr>
        <w:t>ד"ר אילנה רוזן — סמנכ"לית בכירה, בריאות דיגיטלית וחדשנות (יו"ר הדיון)</w:t>
      </w:r>
    </w:p>
    <w:p>
      <w:pPr>
        <w:pStyle w:val="ListBullet"/>
        <w:jc w:val="right"/>
        <w:bidi/>
      </w:pPr>
      <w:r>
        <w:rPr>
          <w:b w:val="0"/>
          <w:i w:val="0"/>
          <w:sz w:val="20"/>
        </w:rPr>
        <w:t>דוד כץ — סמנכ"ל פיתוח עסקי ותאגידי</w:t>
      </w:r>
    </w:p>
    <w:p>
      <w:pPr>
        <w:pStyle w:val="ListBullet"/>
        <w:jc w:val="right"/>
        <w:bidi/>
      </w:pPr>
      <w:r>
        <w:rPr>
          <w:b w:val="0"/>
          <w:i w:val="0"/>
          <w:sz w:val="20"/>
        </w:rPr>
        <w:t>מיכל אברמוביץ' — משנה למנכ"ל ומנהלת הכספים הראשית</w:t>
      </w:r>
    </w:p>
    <w:p>
      <w:pPr>
        <w:pStyle w:val="ListBullet"/>
        <w:jc w:val="right"/>
        <w:bidi/>
      </w:pPr>
      <w:r>
        <w:rPr>
          <w:b w:val="0"/>
          <w:i w:val="0"/>
          <w:sz w:val="20"/>
        </w:rPr>
        <w:t>עו"ד רונית שגיא — היועצת המשפטית הראשית</w:t>
      </w:r>
    </w:p>
    <w:p>
      <w:pPr>
        <w:pStyle w:val="ListBullet"/>
        <w:jc w:val="right"/>
        <w:bidi/>
      </w:pPr>
      <w:r>
        <w:rPr>
          <w:b w:val="0"/>
          <w:i w:val="0"/>
          <w:sz w:val="20"/>
        </w:rPr>
        <w:t>מעיין חן — יועצת בכירה, מרידיאן אסטרטגיה (מוזמנת)</w:t>
      </w:r>
    </w:p>
    <w:p>
      <w:pPr>
        <w:jc w:val="right"/>
        <w:bidi/>
      </w:pPr>
      <w:r>
        <w:rPr>
          <w:b/>
          <w:i w:val="0"/>
          <w:color w:val="1F3864"/>
          <w:sz w:val="26"/>
        </w:rPr>
        <w:t>1. רקע לדיון</w:t>
      </w:r>
    </w:p>
    <w:p>
      <w:pPr>
        <w:jc w:val="right"/>
        <w:bidi/>
      </w:pPr>
      <w:r>
        <w:rPr>
          <w:b w:val="0"/>
          <w:i w:val="0"/>
          <w:sz w:val="21"/>
        </w:rPr>
        <w:t>ד"ר רוזן סקרה בפני הדירקטוריון את התהליך שהוביל להצעת הרכישה של חברת PGTech Health Solutions, חברת בריאות דיגיטלית המתמחה בניטור מרחוק של חולים כרוניים. התהליך כלל בדיקת נאותות פיננסית ותפעולית שבוצעה בליווי מרידיאן אסטרטגיה, ומשא ומתן מתקדם על תנאי העסקה מול מייסדי החברה.</w:t>
      </w:r>
    </w:p>
    <w:p>
      <w:pPr>
        <w:jc w:val="right"/>
        <w:bidi/>
      </w:pPr>
      <w:r>
        <w:rPr>
          <w:b/>
          <w:i w:val="0"/>
          <w:color w:val="1F3864"/>
          <w:sz w:val="26"/>
        </w:rPr>
        <w:t>2. עיקרי תנאי העסקה המוצעים</w:t>
      </w:r>
    </w:p>
    <w:p>
      <w:pPr>
        <w:pStyle w:val="ListBullet"/>
        <w:jc w:val="right"/>
        <w:bidi/>
      </w:pPr>
      <w:r>
        <w:rPr>
          <w:b w:val="0"/>
          <w:i w:val="0"/>
          <w:sz w:val="20"/>
        </w:rPr>
        <w:t>רכישת 100% ממניות PGTech תמורת כ-62 מיליון דולר, מתוכם 48 מיליון דולר במזומן במעמד ההשלמה.</w:t>
      </w:r>
    </w:p>
    <w:p>
      <w:pPr>
        <w:pStyle w:val="ListBullet"/>
        <w:jc w:val="right"/>
        <w:bidi/>
      </w:pPr>
      <w:r>
        <w:rPr>
          <w:b w:val="0"/>
          <w:i w:val="0"/>
          <w:sz w:val="20"/>
        </w:rPr>
        <w:t>תמורה מותנית (Earnout) של עד 14 מיליון דולר, בכפוף לעמידה ביעדי הכנסות ואינטגרציה על פני 24 חודשים.</w:t>
      </w:r>
    </w:p>
    <w:p>
      <w:pPr>
        <w:pStyle w:val="ListBullet"/>
        <w:jc w:val="right"/>
        <w:bidi/>
      </w:pPr>
      <w:r>
        <w:rPr>
          <w:b w:val="0"/>
          <w:i w:val="0"/>
          <w:sz w:val="20"/>
        </w:rPr>
        <w:t>הקצאת 4.5 מיליון דולר לתוכנית שימור עובדי מפתח, לרבות המייסדים.</w:t>
      </w:r>
    </w:p>
    <w:p>
      <w:pPr>
        <w:pStyle w:val="ListBullet"/>
        <w:jc w:val="right"/>
        <w:bidi/>
      </w:pPr>
      <w:r>
        <w:rPr>
          <w:b w:val="0"/>
          <w:i w:val="0"/>
          <w:sz w:val="20"/>
        </w:rPr>
        <w:t>נאמנות (Escrow) בשיעור 10% מהתמורה המזומנת למשך 18 חודשים להבטחת התחייבויות שיפוי.</w:t>
      </w:r>
    </w:p>
    <w:p>
      <w:pPr>
        <w:pStyle w:val="ListBullet"/>
        <w:jc w:val="right"/>
        <w:bidi/>
      </w:pPr>
      <w:r>
        <w:rPr>
          <w:b w:val="0"/>
          <w:i w:val="0"/>
          <w:sz w:val="20"/>
        </w:rPr>
        <w:t>מועד השלמה משוער: 30 בנובמבר 2026, בכפוף לאישור רשות התחרות.</w:t>
      </w:r>
    </w:p>
    <w:p>
      <w:pPr>
        <w:jc w:val="right"/>
        <w:bidi/>
      </w:pPr>
      <w:r>
        <w:rPr>
          <w:b/>
          <w:i w:val="0"/>
          <w:color w:val="1F3864"/>
          <w:sz w:val="26"/>
        </w:rPr>
        <w:t>3. התייחסות הנהלת הכספים</w:t>
      </w:r>
    </w:p>
    <w:p>
      <w:pPr>
        <w:jc w:val="right"/>
        <w:bidi/>
      </w:pPr>
      <w:r>
        <w:rPr>
          <w:b w:val="0"/>
          <w:i w:val="0"/>
          <w:sz w:val="21"/>
        </w:rPr>
        <w:t>גב' אברמוביץ' הציגה את מודל הסינרגיה שהוכן בליווי מרידיאן אסטרטגיה, לפיו הסינרגיות התפעוליות וההכנסות הצפויות מגיעות לכ-4.7 מיליון דולר בשנה השלישית להשלמת העסקה, מול עלויות אינטגרציה חד-פעמיות של כ-2.6 מיליון דולר בשנה הראשונה. תקופת ההחזר המשוערת (Payback) הוצגה כפחות מ-8 חודשים מרגע הגעה לקצב הרצה מלא.</w:t>
      </w:r>
    </w:p>
    <w:p>
      <w:pPr>
        <w:jc w:val="right"/>
        <w:bidi/>
      </w:pPr>
      <w:r>
        <w:rPr>
          <w:b/>
          <w:i w:val="0"/>
          <w:color w:val="1F3864"/>
          <w:sz w:val="26"/>
        </w:rPr>
        <w:t>4. סוגיות משפטיות ורגולטוריות</w:t>
      </w:r>
    </w:p>
    <w:p>
      <w:pPr>
        <w:jc w:val="right"/>
        <w:bidi/>
      </w:pPr>
      <w:r>
        <w:rPr>
          <w:b w:val="0"/>
          <w:i w:val="0"/>
          <w:sz w:val="21"/>
        </w:rPr>
        <w:t>עו"ד שגיא ציינה כי נדרש אישור רשות התחרות הישראלית להשלמת העסקה, וכי לא אותרו הליכים משפטיים מהותיים תלויים ועומדים נגד PGTech בבדיקת הנאותות המשפטית. הובהר כי הסכם הרכישה כולל מנגנוני שיפוי סטנדרטיים וסף מינימלי (De Minimis) של 50,000 דולר לתביעה.</w:t>
      </w:r>
    </w:p>
    <w:p>
      <w:pPr>
        <w:jc w:val="right"/>
        <w:bidi/>
      </w:pPr>
      <w:r>
        <w:rPr>
          <w:b/>
          <w:i w:val="0"/>
          <w:color w:val="1F3864"/>
          <w:sz w:val="26"/>
        </w:rPr>
        <w:t>5. החלטת הדירקטוריון</w:t>
      </w:r>
    </w:p>
    <w:p>
      <w:pPr>
        <w:jc w:val="right"/>
        <w:bidi/>
      </w:pPr>
      <w:r>
        <w:rPr>
          <w:b w:val="0"/>
          <w:i w:val="0"/>
          <w:sz w:val="21"/>
        </w:rPr>
        <w:t>לאחר דיון, אישר הדירקטוריון פה אחד את המשך התקדמות העסקה לחתימה על הסכם רכישת מניות מחייב, בכפוף לתנאים המתלים שהוצגו. נקבע כי עדכון נוסף יובא בפני הדירקטוריון לקראת מועד ההשלמה הצפוי.</w:t>
      </w:r>
    </w:p>
    <w:p/>
    <w:p>
      <w:pPr>
        <w:jc w:val="right"/>
        <w:bidi/>
      </w:pPr>
      <w:r>
        <w:rPr>
          <w:b w:val="0"/>
          <w:i/>
          <w:sz w:val="19"/>
        </w:rPr>
        <w:t>רשמה: מעיין חן, מרידיאן אסטרטגיה</w:t>
      </w:r>
    </w:p>
    <w:p/>
    <w:p>
      <w:pPr>
        <w:jc w:val="center"/>
      </w:pPr>
      <w:r>
        <w:rPr>
          <w:i/>
          <w:color w:val="595959"/>
          <w:sz w:val="17"/>
        </w:rPr>
        <w:t>מסמך זה הינו דמו פיקטיבי שהוכן לצורך סימולציית פרויקט פנימית ואינו מהווה פרוטוקול אמיתי.</w:t>
      </w:r>
    </w:p>
    <w:p>
      <w:pPr>
        <w:jc w:val="center"/>
      </w:pPr>
      <w:r>
        <w:rPr>
          <w:i/>
          <w:color w:val="595959"/>
          <w:sz w:val="17"/>
        </w:rPr>
        <w:t>סודי — מרידיאן אסטרטגיה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