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26"/>
        </w:rPr>
        <w:t>MERIDIAN STRATEGY PARTNERS</w:t>
      </w:r>
    </w:p>
    <w:p>
      <w:pPr>
        <w:jc w:val="center"/>
      </w:pPr>
      <w:r>
        <w:rPr>
          <w:i/>
          <w:color w:val="595959"/>
          <w:sz w:val="20"/>
        </w:rPr>
        <w:t>Mergers, Acquisitions &amp; Integration Advisory</w:t>
      </w:r>
    </w:p>
    <w:p/>
    <w:p>
      <w:pPr>
        <w:jc w:val="center"/>
      </w:pPr>
      <w:r>
        <w:rPr>
          <w:b/>
          <w:color w:val="1F3864"/>
          <w:sz w:val="40"/>
        </w:rPr>
        <w:t>PROJECT CHARTER &amp; STATEMENT OF WORK</w:t>
      </w:r>
    </w:p>
    <w:p>
      <w:pPr>
        <w:jc w:val="center"/>
      </w:pPr>
      <w:r>
        <w:rPr>
          <w:i/>
          <w:color w:val="595959"/>
          <w:sz w:val="22"/>
        </w:rPr>
        <w:t>PGTech Acquisition — Due Diligence, Deal Support &amp; Post-Merger Integration</w:t>
      </w:r>
    </w:p>
    <w:p>
      <w:pPr>
        <w:jc w:val="center"/>
      </w:pPr>
      <w:r>
        <w:rPr>
          <w:i/>
          <w:color w:val="595959"/>
          <w:sz w:val="18"/>
        </w:rPr>
        <w:t>This document contains fictional placeholder content prepared for internal project simulation purposes only.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/>
            <w:r>
              <w:rPr>
                <w:b/>
                <w:sz w:val="20"/>
              </w:rPr>
              <w:t>Client: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Teva Pharmaceuticals Ltd. — Digital Health &amp; Innovation</w:t>
            </w:r>
          </w:p>
        </w:tc>
      </w:tr>
      <w:tr>
        <w:tc>
          <w:tcPr>
            <w:tcW w:type="dxa" w:w="4320"/>
            <w:shd w:fill="F2F2F2"/>
          </w:tcPr>
          <w:p>
            <w:r/>
            <w:r>
              <w:rPr>
                <w:b/>
                <w:sz w:val="20"/>
              </w:rPr>
              <w:t>Consultant: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Meridian Strategy Partners Ltd.</w:t>
            </w:r>
          </w:p>
        </w:tc>
      </w:tr>
      <w:tr>
        <w:tc>
          <w:tcPr>
            <w:tcW w:type="dxa" w:w="4320"/>
            <w:shd w:fill="F2F2F2"/>
          </w:tcPr>
          <w:p>
            <w:r/>
            <w:r>
              <w:rPr>
                <w:b/>
                <w:sz w:val="20"/>
              </w:rPr>
              <w:t>Engagement Sponsor: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Ilana Rosen, SVP Digital Health &amp; Innovation</w:t>
            </w:r>
          </w:p>
        </w:tc>
      </w:tr>
      <w:tr>
        <w:tc>
          <w:tcPr>
            <w:tcW w:type="dxa" w:w="4320"/>
            <w:shd w:fill="F2F2F2"/>
          </w:tcPr>
          <w:p>
            <w:r/>
            <w:r>
              <w:rPr>
                <w:b/>
                <w:sz w:val="20"/>
              </w:rPr>
              <w:t>Engagement Lead: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Maayan Chen, Principal Consultant</w:t>
            </w:r>
          </w:p>
        </w:tc>
      </w:tr>
      <w:tr>
        <w:tc>
          <w:tcPr>
            <w:tcW w:type="dxa" w:w="4320"/>
            <w:shd w:fill="F2F2F2"/>
          </w:tcPr>
          <w:p>
            <w:r/>
            <w:r>
              <w:rPr>
                <w:b/>
                <w:sz w:val="20"/>
              </w:rPr>
              <w:t>Charter Date: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August 10, 2026</w:t>
            </w:r>
          </w:p>
        </w:tc>
      </w:tr>
      <w:tr>
        <w:tc>
          <w:tcPr>
            <w:tcW w:type="dxa" w:w="4320"/>
            <w:shd w:fill="F2F2F2"/>
          </w:tcPr>
          <w:p>
            <w:r/>
            <w:r>
              <w:rPr>
                <w:b/>
                <w:sz w:val="20"/>
              </w:rPr>
              <w:t>Engagement Duration: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August 10, 2026 – February 28, 2027 (approx. 7 months)</w:t>
            </w:r>
          </w:p>
        </w:tc>
      </w:tr>
    </w:tbl>
    <w:p/>
    <w:p>
      <w:r>
        <w:rPr>
          <w:b/>
          <w:color w:val="1F3864"/>
          <w:sz w:val="26"/>
        </w:rPr>
        <w:t>1. Background and Business Context</w:t>
      </w:r>
    </w:p>
    <w:p>
      <w:r>
        <w:rPr>
          <w:sz w:val="21"/>
        </w:rPr>
        <w:t>Teva Pharmaceuticals Ltd. ("Teva") has entered exclusive negotiations to acquire PGTech Health Solutions Ltd. ("PGTech"), a Herzliya-based remote patient monitoring (RPM) and digital health platform company founded in 2019. The acquisition supports Teva's strategic priority of expanding beyond traditional pharmaceuticals into connected-care and outcomes-based digital health offerings. Meridian Strategy Partners has been engaged to support financial and operational due diligence, deal structuring input, and post-merger integration planning.</w:t>
      </w:r>
    </w:p>
    <w:p>
      <w:r>
        <w:rPr>
          <w:b/>
          <w:color w:val="1F3864"/>
          <w:sz w:val="26"/>
        </w:rPr>
        <w:t>2. Objectives</w:t>
      </w:r>
    </w:p>
    <w:p>
      <w:pPr>
        <w:pStyle w:val="ListBullet"/>
      </w:pPr>
      <w:r>
        <w:t>Validate PGTech's financial position, revenue quality, and cost structure ahead of signing.</w:t>
      </w:r>
    </w:p>
    <w:p>
      <w:pPr>
        <w:pStyle w:val="ListBullet"/>
      </w:pPr>
      <w:r>
        <w:t>Assess organizational fit and identify integration risks, including key-talent retention needs.</w:t>
      </w:r>
    </w:p>
    <w:p>
      <w:pPr>
        <w:pStyle w:val="ListBullet"/>
      </w:pPr>
      <w:r>
        <w:t>Develop a cost and revenue synergy model to inform deal economics and post-close targets.</w:t>
      </w:r>
    </w:p>
    <w:p>
      <w:pPr>
        <w:pStyle w:val="ListBullet"/>
      </w:pPr>
      <w:r>
        <w:t>Design a post-merger organizational structure for the combined Digital Health &amp; Innovation unit.</w:t>
      </w:r>
    </w:p>
    <w:p>
      <w:pPr>
        <w:pStyle w:val="ListBullet"/>
      </w:pPr>
      <w:r>
        <w:t>Produce a Day-1 and Day-100 integration readiness plan.</w:t>
      </w:r>
    </w:p>
    <w:p>
      <w:r>
        <w:rPr>
          <w:b/>
          <w:color w:val="1F3864"/>
          <w:sz w:val="26"/>
        </w:rPr>
        <w:t>3. Scope of Work —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r/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b/>
                <w:color w:val="FFFFFF"/>
                <w:sz w:val="20"/>
              </w:rPr>
              <w:t>Target Timeline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Phase 1 — Financial &amp; Operational Due Diligence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Review of PGTech financials, cap table, contracts, IP, and HR data room; identification of key risks and DD findings.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Aug 10 – Sept 5, 2026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Phase 2 — Deal Structuring &amp; Synergy Modeling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Support on purchase price allocation, earnout structure, and development of the merger cost/synergy model.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Sept 8 – Sept 14, 2026 (through signing)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Phase 3 — Integration Design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Post-merger org structure design, retention plan for key PGTech talent, shared-services transition planning (Finance, HR, IT).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Sept 15 – Nov 15, 2026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Phase 4 — Day-1 / Day-100 Readiness &amp; Close Support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Communications planning, Day-1 checklist, integration governance cadence, Day-100 milestone tracking.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Nov 16, 2026 – Feb 28, 2027</w:t>
            </w:r>
          </w:p>
        </w:tc>
      </w:tr>
    </w:tbl>
    <w:p/>
    <w:p>
      <w:r>
        <w:rPr>
          <w:b/>
          <w:color w:val="1F3864"/>
          <w:sz w:val="26"/>
        </w:rPr>
        <w:t>4. Deliverables</w:t>
      </w:r>
    </w:p>
    <w:p>
      <w:pPr>
        <w:pStyle w:val="ListBullet"/>
      </w:pPr>
      <w:r>
        <w:t>Financial Due Diligence Summary (workbook)</w:t>
      </w:r>
    </w:p>
    <w:p>
      <w:pPr>
        <w:pStyle w:val="ListBullet"/>
      </w:pPr>
      <w:r>
        <w:t>Merger Cost &amp; Synergy Model (workbook)</w:t>
      </w:r>
    </w:p>
    <w:p>
      <w:pPr>
        <w:pStyle w:val="ListBullet"/>
      </w:pPr>
      <w:r>
        <w:t>Proposed Post-Merger Org Chart</w:t>
      </w:r>
    </w:p>
    <w:p>
      <w:pPr>
        <w:pStyle w:val="ListBullet"/>
      </w:pPr>
      <w:r>
        <w:t>Key Talent Retention Plan</w:t>
      </w:r>
    </w:p>
    <w:p>
      <w:pPr>
        <w:pStyle w:val="ListBullet"/>
      </w:pPr>
      <w:r>
        <w:t>Day-1 / Day-100 Integration Playbook (presented to Steering Committee)</w:t>
      </w:r>
    </w:p>
    <w:p>
      <w:r>
        <w:rPr>
          <w:b/>
          <w:color w:val="1F3864"/>
          <w:sz w:val="26"/>
        </w:rPr>
        <w:t>5. Governance</w:t>
      </w:r>
    </w:p>
    <w:p>
      <w:r>
        <w:rPr>
          <w:sz w:val="21"/>
        </w:rPr>
        <w:t>A joint Integration Steering Committee comprising representatives from Teva Corporate Development, Digital Health &amp; Innovation, HR, Finance, and Legal, along with PGTech leadership (Noam Bar-Lev, Dana Levi) and Meridian Strategy Partners, will meet bi-weekly through Closing and monthly thereafter through the Day-100 milestone.</w:t>
      </w:r>
    </w:p>
    <w:p>
      <w:r>
        <w:rPr>
          <w:b/>
          <w:color w:val="1F3864"/>
          <w:sz w:val="26"/>
        </w:rPr>
        <w:t>6. Fees</w:t>
      </w:r>
    </w:p>
    <w:p>
      <w:r>
        <w:rPr>
          <w:sz w:val="21"/>
        </w:rPr>
        <w:t>As set forth in the accompanying Consulting Services Agreement dated August 10, 2026: total contract value of USD 340,000 plus a USD 75,000 success fee payable upon signing of the Share Purchase Agreement.</w:t>
      </w:r>
    </w:p>
    <w:p/>
    <w:p>
      <w:pPr>
        <w:jc w:val="center"/>
      </w:pPr>
      <w:r>
        <w:rPr>
          <w:i/>
          <w:color w:val="595959"/>
          <w:sz w:val="17"/>
        </w:rPr>
        <w:t>This document is a fictional mock-up created for internal project simulation purposes and does not represent an actual document.</w:t>
      </w:r>
    </w:p>
    <w:p>
      <w:pPr>
        <w:jc w:val="center"/>
      </w:pPr>
      <w:r>
        <w:rPr>
          <w:i/>
          <w:color w:val="595959"/>
          <w:sz w:val="17"/>
        </w:rPr>
        <w:t>Confidential — Meridian Strategy Partners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