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26"/>
        </w:rPr>
        <w:t>TEVA PHARMACEUTICALS LTD.</w:t>
      </w:r>
    </w:p>
    <w:p>
      <w:r>
        <w:rPr>
          <w:i/>
          <w:color w:val="595959"/>
          <w:sz w:val="20"/>
        </w:rPr>
        <w:t>Internal Memorandum — Confidential</w:t>
      </w:r>
    </w:p>
    <w:p/>
    <w:tbl>
      <w:tblPr>
        <w:tblStyle w:val="TableGrid"/>
        <w:tblW w:type="auto" w:w="0"/>
        <w:jc w:val="center"/>
        <w:tblLook w:firstColumn="1" w:firstRow="1" w:lastColumn="0" w:lastRow="0" w:noHBand="0" w:noVBand="1" w:val="04A0"/>
      </w:tblPr>
      <w:tblGrid>
        <w:gridCol w:w="4320"/>
        <w:gridCol w:w="4320"/>
      </w:tblGrid>
      <w:tr>
        <w:tc>
          <w:tcPr>
            <w:tcW w:type="dxa" w:w="4320"/>
            <w:shd w:fill="F2F2F2"/>
          </w:tcPr>
          <w:p>
            <w:r/>
            <w:r>
              <w:rPr>
                <w:b/>
                <w:sz w:val="20"/>
              </w:rPr>
              <w:t>To:</w:t>
            </w:r>
          </w:p>
        </w:tc>
        <w:tc>
          <w:tcPr>
            <w:tcW w:type="dxa" w:w="4320"/>
          </w:tcPr>
          <w:p>
            <w:r/>
            <w:r>
              <w:rPr>
                <w:sz w:val="20"/>
              </w:rPr>
              <w:t>Digital Health &amp; Innovation team; HQ Finance; Corporate Development; select Leadership</w:t>
            </w:r>
          </w:p>
        </w:tc>
      </w:tr>
      <w:tr>
        <w:tc>
          <w:tcPr>
            <w:tcW w:type="dxa" w:w="4320"/>
            <w:shd w:fill="F2F2F2"/>
          </w:tcPr>
          <w:p>
            <w:r/>
            <w:r>
              <w:rPr>
                <w:b/>
                <w:sz w:val="20"/>
              </w:rPr>
              <w:t>From:</w:t>
            </w:r>
          </w:p>
        </w:tc>
        <w:tc>
          <w:tcPr>
            <w:tcW w:type="dxa" w:w="4320"/>
          </w:tcPr>
          <w:p>
            <w:r/>
            <w:r>
              <w:rPr>
                <w:sz w:val="20"/>
              </w:rPr>
              <w:t>Dr. Ilana Rosen, SVP Digital Health &amp; Innovation</w:t>
            </w:r>
          </w:p>
        </w:tc>
      </w:tr>
      <w:tr>
        <w:tc>
          <w:tcPr>
            <w:tcW w:type="dxa" w:w="4320"/>
            <w:shd w:fill="F2F2F2"/>
          </w:tcPr>
          <w:p>
            <w:r/>
            <w:r>
              <w:rPr>
                <w:b/>
                <w:sz w:val="20"/>
              </w:rPr>
              <w:t>Date:</w:t>
            </w:r>
          </w:p>
        </w:tc>
        <w:tc>
          <w:tcPr>
            <w:tcW w:type="dxa" w:w="4320"/>
          </w:tcPr>
          <w:p>
            <w:r/>
            <w:r>
              <w:rPr>
                <w:sz w:val="20"/>
              </w:rPr>
              <w:t>September 14, 2026</w:t>
            </w:r>
          </w:p>
        </w:tc>
      </w:tr>
      <w:tr>
        <w:tc>
          <w:tcPr>
            <w:tcW w:type="dxa" w:w="4320"/>
            <w:shd w:fill="F2F2F2"/>
          </w:tcPr>
          <w:p>
            <w:r/>
            <w:r>
              <w:rPr>
                <w:b/>
                <w:sz w:val="20"/>
              </w:rPr>
              <w:t>Re:</w:t>
            </w:r>
          </w:p>
        </w:tc>
        <w:tc>
          <w:tcPr>
            <w:tcW w:type="dxa" w:w="4320"/>
          </w:tcPr>
          <w:p>
            <w:r/>
            <w:r>
              <w:rPr>
                <w:sz w:val="20"/>
              </w:rPr>
              <w:t>Signing of Agreement to Acquire PGTech Health Solutions Ltd.</w:t>
            </w:r>
          </w:p>
        </w:tc>
      </w:tr>
    </w:tbl>
    <w:p/>
    <w:p>
      <w:r>
        <w:rPr>
          <w:i/>
          <w:color w:val="595959"/>
          <w:sz w:val="18"/>
        </w:rPr>
        <w:t>This document contains fictional placeholder content prepared for internal project simulation purposes only.</w:t>
      </w:r>
    </w:p>
    <w:p/>
    <w:p>
      <w:r>
        <w:rPr>
          <w:sz w:val="21"/>
        </w:rPr>
        <w:t>Team,</w:t>
      </w:r>
    </w:p>
    <w:p>
      <w:r>
        <w:rPr>
          <w:sz w:val="21"/>
        </w:rPr>
        <w:t>I'm pleased to share that today Teva signed a definitive Share Purchase Agreement to acquire 100% of PGTech Health Solutions Ltd., a Herzliya-based remote patient monitoring and digital health platform company. This is an important step in our strategy to build connected, outcomes-based care offerings alongside our core pharmaceutical business.</w:t>
      </w:r>
    </w:p>
    <w:p>
      <w:r>
        <w:rPr>
          <w:sz w:val="21"/>
        </w:rPr>
        <w:t>Subject to customary closing conditions, including Israeli Competition Authority clearance, we expect the transaction to close by November 30, 2026. Until Closing, PGTech continues to operate as an independent company, and both organizations will continue business as usual.</w:t>
      </w:r>
    </w:p>
    <w:p>
      <w:r>
        <w:rPr>
          <w:b/>
          <w:color w:val="1F3864"/>
          <w:sz w:val="26"/>
        </w:rPr>
        <w:t>What This Means</w:t>
      </w:r>
    </w:p>
    <w:p>
      <w:pPr>
        <w:pStyle w:val="ListBullet"/>
      </w:pPr>
      <w:r>
        <w:t>PGTech's ~45 employees, including founders Noam Bar-Lev (CEO) and Dana Levi (CTO), are expected to join Teva as part of the new Digital Health &amp; Innovation structure.</w:t>
      </w:r>
    </w:p>
    <w:p>
      <w:pPr>
        <w:pStyle w:val="ListBullet"/>
      </w:pPr>
      <w:r>
        <w:t>Noam will take on a newly created role, VP Digital Health Products, reporting to me, and will lead our combined remote patient monitoring product line.</w:t>
      </w:r>
    </w:p>
    <w:p>
      <w:pPr>
        <w:pStyle w:val="ListBullet"/>
      </w:pPr>
      <w:r>
        <w:t>PGTech's engineering, clinical/regulatory, and customer success teams will be retained; Finance and HR functions will transition into Teva shared services over the following months.</w:t>
      </w:r>
    </w:p>
    <w:p>
      <w:pPr>
        <w:pStyle w:val="ListBullet"/>
      </w:pPr>
      <w:r>
        <w:t>A joint Integration Steering Committee, supported by Meridian Strategy Partners, will guide the integration process through a Day-100 milestone.</w:t>
      </w:r>
    </w:p>
    <w:p>
      <w:r>
        <w:rPr>
          <w:b/>
          <w:color w:val="1F3864"/>
          <w:sz w:val="26"/>
        </w:rPr>
        <w:t>Confidentiality</w:t>
      </w:r>
    </w:p>
    <w:p>
      <w:r>
        <w:rPr>
          <w:sz w:val="21"/>
        </w:rPr>
        <w:t>Deal terms, including financial consideration and retention arrangements, are strictly confidential and should not be shared outside of those with a direct need to know. Please direct any external inquiries, including from press or PGTech contacts outside the agreed communication plan, to Corporate Communications.</w:t>
      </w:r>
    </w:p>
    <w:p>
      <w:r>
        <w:rPr>
          <w:sz w:val="21"/>
        </w:rPr>
        <w:t>I'll share more detail at next week's Digital Health all-hands. In the meantime, thank you for your continued focus — this is an exciting milestone for the team.</w:t>
      </w:r>
    </w:p>
    <w:p>
      <w:r>
        <w:rPr>
          <w:sz w:val="21"/>
        </w:rPr>
        <w:t>Ilana</w:t>
      </w:r>
    </w:p>
    <w:p/>
    <w:p>
      <w:pPr>
        <w:jc w:val="center"/>
      </w:pPr>
      <w:r>
        <w:rPr>
          <w:i/>
          <w:color w:val="595959"/>
          <w:sz w:val="17"/>
        </w:rPr>
        <w:t>This document is a fictional mock-up created for internal project simulation purposes and does not represent an actual document.</w:t>
      </w:r>
    </w:p>
    <w:p>
      <w:pPr>
        <w:jc w:val="center"/>
      </w:pPr>
      <w:r>
        <w:rPr>
          <w:i/>
          <w:color w:val="595959"/>
          <w:sz w:val="17"/>
        </w:rPr>
        <w:t>Confidential — Meridian Strategy Partners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