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E3440"/>
          <w:sz w:val="52"/>
        </w:rPr>
        <w:t>Guía del usuario</w:t>
      </w:r>
    </w:p>
    <w:p>
      <w:pPr>
        <w:pBdr>
          <w:bottom w:val="single" w:sz="24" w:space="1" w:color="C15F3C"/>
        </w:pBdr>
      </w:pPr>
    </w:p>
    <w:p>
      <w:r>
        <w:rPr>
          <w:i/>
          <w:color w:val="555555"/>
          <w:sz w:val="24"/>
        </w:rPr>
        <w:t>Análisis de sus gráficos de Qlik Sense con IA, impulsado por Claude de Anthropic</w:t>
      </w:r>
    </w:p>
    <w:tbl>
      <w:tblPr>
        <w:tblStyle w:val="TableGrid"/>
        <w:tblW w:type="auto" w:w="0"/>
        <w:jc w:val="left"/>
        <w:tblLook w:firstColumn="1" w:firstRow="1" w:lastColumn="0" w:lastRow="0" w:noHBand="0" w:noVBand="1" w:val="04A0"/>
      </w:tblPr>
      <w:tblGrid>
        <w:gridCol w:w="2304"/>
        <w:gridCol w:w="6624"/>
      </w:tblGrid>
      <w:tr>
        <w:tc>
          <w:tcPr>
            <w:tcW w:type="dxa" w:w="4824"/>
            <w:shd w:val="clear" w:fill="ECECEC"/>
          </w:tcPr>
          <w:p>
            <w:r/>
            <w:r>
              <w:rPr>
                <w:b/>
                <w:sz w:val="20"/>
              </w:rPr>
              <w:t>Producto</w:t>
            </w:r>
          </w:p>
        </w:tc>
        <w:tc>
          <w:tcPr>
            <w:tcW w:type="dxa" w:w="4824"/>
          </w:tcPr>
          <w:p>
            <w:r/>
            <w:r>
              <w:rPr>
                <w:b w:val="0"/>
                <w:sz w:val="20"/>
              </w:rPr>
              <w:t>Anthropic AI Assistant para Qlik Sense Enterprise on Windows</w:t>
            </w:r>
          </w:p>
        </w:tc>
      </w:tr>
      <w:tr>
        <w:tc>
          <w:tcPr>
            <w:tcW w:type="dxa" w:w="4824"/>
            <w:shd w:val="clear" w:fill="ECECEC"/>
          </w:tcPr>
          <w:p>
            <w:r/>
            <w:r>
              <w:rPr>
                <w:b/>
                <w:sz w:val="20"/>
              </w:rPr>
              <w:t>Versión</w:t>
            </w:r>
          </w:p>
        </w:tc>
        <w:tc>
          <w:tcPr>
            <w:tcW w:type="dxa" w:w="4824"/>
          </w:tcPr>
          <w:p>
            <w:r/>
            <w:r>
              <w:rPr>
                <w:b w:val="0"/>
                <w:sz w:val="20"/>
              </w:rPr>
              <w:t>v0.5.0 · compilación 34</w:t>
            </w:r>
          </w:p>
        </w:tc>
      </w:tr>
      <w:tr>
        <w:tc>
          <w:tcPr>
            <w:tcW w:type="dxa" w:w="4824"/>
            <w:shd w:val="clear" w:fill="ECECEC"/>
          </w:tcPr>
          <w:p>
            <w:r/>
            <w:r>
              <w:rPr>
                <w:b/>
                <w:sz w:val="20"/>
              </w:rPr>
              <w:t>Autor</w:t>
            </w:r>
          </w:p>
        </w:tc>
        <w:tc>
          <w:tcPr>
            <w:tcW w:type="dxa" w:w="4824"/>
          </w:tcPr>
          <w:p>
            <w:r/>
            <w:r>
              <w:rPr>
                <w:b w:val="0"/>
                <w:sz w:val="20"/>
              </w:rPr>
              <w:t>Miguel Angel Baeyens</w:t>
            </w:r>
          </w:p>
        </w:tc>
      </w:tr>
      <w:tr>
        <w:tc>
          <w:tcPr>
            <w:tcW w:type="dxa" w:w="4824"/>
            <w:shd w:val="clear" w:fill="ECECEC"/>
          </w:tcPr>
          <w:p>
            <w:r/>
            <w:r>
              <w:rPr>
                <w:b/>
                <w:sz w:val="20"/>
              </w:rPr>
              <w:t>Fecha</w:t>
            </w:r>
          </w:p>
        </w:tc>
        <w:tc>
          <w:tcPr>
            <w:tcW w:type="dxa" w:w="4824"/>
          </w:tcPr>
          <w:p>
            <w:r/>
            <w:r>
              <w:rPr>
                <w:b w:val="0"/>
                <w:sz w:val="20"/>
              </w:rPr>
              <w:t>25 de julio de 2026</w:t>
            </w:r>
          </w:p>
        </w:tc>
      </w:tr>
      <w:tr>
        <w:tc>
          <w:tcPr>
            <w:tcW w:type="dxa" w:w="4824"/>
            <w:shd w:val="clear" w:fill="ECECEC"/>
          </w:tcPr>
          <w:p>
            <w:r/>
            <w:r>
              <w:rPr>
                <w:b/>
                <w:sz w:val="20"/>
              </w:rPr>
              <w:t>Idioma</w:t>
            </w:r>
          </w:p>
        </w:tc>
        <w:tc>
          <w:tcPr>
            <w:tcW w:type="dxa" w:w="4824"/>
          </w:tcPr>
          <w:p>
            <w:r/>
            <w:r>
              <w:rPr>
                <w:b w:val="0"/>
                <w:sz w:val="20"/>
              </w:rPr>
              <w:t>Español</w:t>
            </w:r>
          </w:p>
        </w:tc>
      </w:tr>
    </w:tbl>
    <w:p/>
    <w:tbl>
      <w:tblPr>
        <w:tblStyle w:val="TableGrid"/>
        <w:tblW w:type="auto" w:w="0"/>
        <w:tblLook w:firstColumn="1" w:firstRow="1" w:lastColumn="0" w:lastRow="0" w:noHBand="0" w:noVBand="1" w:val="04A0"/>
      </w:tblPr>
      <w:tblGrid>
        <w:gridCol w:w="9648"/>
      </w:tblGrid>
      <w:tr>
        <w:tc>
          <w:tcPr>
            <w:tcW w:type="dxa" w:w="9648"/>
            <w:shd w:val="clear" w:fill="FFF4E5"/>
          </w:tcPr>
          <w:p>
            <w:r/>
            <w:r>
              <w:rPr>
                <w:b/>
                <w:color w:val="C15F3C"/>
              </w:rPr>
              <w:t>Aviso — demostración experimental</w:t>
            </w:r>
          </w:p>
          <w:p>
            <w:r>
              <w:rPr>
                <w:sz w:val="19"/>
              </w:rPr>
              <w:t>Esta extensión es un desarrollo de demostración y no un producto oficialmente soportado por Qlik. Ni Qlik ni el autor asumen responsabilidad alguna por cualquier incidencia.</w:t>
            </w:r>
          </w:p>
          <w:p>
            <w:r>
              <w:rPr>
                <w:sz w:val="19"/>
              </w:rPr>
              <w:t>Al hacer una pregunta, los datos del gráfico seleccionado salen del entorno hacia un LLM (Anthropic, a través del proxy) — salvo que use un modelo local, en cuyo caso los datos permanecen en su infraestructura. No lo utilice con datos sensibles, regulados o personales sin autorización expresa.</w:t>
            </w:r>
          </w:p>
        </w:tc>
      </w:tr>
    </w:tbl>
    <w:p/>
    <w:p>
      <w:r>
        <w:rPr>
          <w:b/>
          <w:color w:val="C15F3C"/>
          <w:sz w:val="30"/>
        </w:rPr>
        <w:t>1. Introducción: ¿qué es?</w:t>
      </w:r>
    </w:p>
    <w:p>
      <w:r>
        <w:t>El Anthropic AI Assistant es una extensión de visualización para Qlik Sense que añade un panel de asistente de IA a sus cuadros de mando. El flujo es sencillo: seleccione hasta 5 gráficos, escriba una pregunta en lenguaje natural y reciba un análisis generado por Claude.</w:t>
      </w:r>
    </w:p>
    <w:p>
      <w:pPr>
        <w:pStyle w:val="ListBullet"/>
      </w:pPr>
      <w:r>
        <w:t>En la primera pregunta, la extensión también envía la estructura del modelo de datos (nombres de tablas, campos e ítems maestros) para que Claude interprete el gráfico en contexto.</w:t>
      </w:r>
    </w:p>
    <w:p>
      <w:pPr>
        <w:pStyle w:val="ListBullet"/>
      </w:pPr>
      <w:r>
        <w:t>Funciona sobre Qlik Sense Enterprise on Windows (Client-Managed). Qlik Sense Cloud queda fuera de alcance (Qlik Cloud dispone de asistentes de IA nativos como Qlik Answers).</w:t>
      </w:r>
    </w:p>
    <w:p>
      <w:pPr>
        <w:pStyle w:val="ListBullet"/>
      </w:pPr>
      <w:r>
        <w:t>Novedad v0.5.0: la extensión ya NO guarda ninguna clave de API en el navegador. Todo el tráfico pasa por un proxy endurecido, que guarda la clave en el servidor y autentica su sesión de Qlik. El proxy es obligatorio.</w:t>
      </w:r>
    </w:p>
    <w:p>
      <w:pPr>
        <w:pStyle w:val="ListBullet"/>
      </w:pPr>
      <w:r>
        <w:t>Puede elegir el modelo desde el propio panel (Haiku / Sonnet / Opus) e incluso un modelo local ejecutado con Ollama, en cuyo caso los datos no salen de su infraestructura.</w:t>
      </w:r>
    </w:p>
    <w:p>
      <w:r>
        <w:rPr>
          <w:b/>
          <w:color w:val="C15F3C"/>
          <w:sz w:val="30"/>
        </w:rPr>
        <w:t>2. Requisitos previos</w:t>
      </w:r>
    </w:p>
    <w:p>
      <w:pPr>
        <w:pStyle w:val="ListBullet"/>
      </w:pPr>
      <w:r>
        <w:t>Qlik Sense Enterprise on Windows versión ≥ 2025 o 2026 (versiones de 2024 pueden funcionar; en 2025 y 2026 se han introducido varios gráficos nuevos).</w:t>
      </w:r>
    </w:p>
    <w:p>
      <w:pPr>
        <w:pStyle w:val="ListBullet"/>
      </w:pPr>
      <w:r>
        <w:t>El proxy endurecido desplegado y accesible (ver la Guía de instalación / proxy/README.md). El proxy guarda la clave de API de Anthropic y valida la sesión de Qlik.</w:t>
      </w:r>
    </w:p>
    <w:p>
      <w:pPr>
        <w:pStyle w:val="ListBullet"/>
      </w:pPr>
      <w:r>
        <w:t>Que el navegador pueda alcanzar la URL del proxy por HTTPS con un certificado en el que confíe (idealmente emitido por su CA interna).</w:t>
      </w:r>
    </w:p>
    <w:p>
      <w:pPr>
        <w:pStyle w:val="ListBullet"/>
      </w:pPr>
      <w:r>
        <w:t>Para modelos locales: un servidor Ollama en marcha y la ruta /api/ollama del proxy configurada.</w:t>
      </w:r>
    </w:p>
    <w:p>
      <w:r>
        <w:rPr>
          <w:b/>
          <w:color w:val="C15F3C"/>
          <w:sz w:val="30"/>
        </w:rPr>
        <w:t>3. Instalación</w:t>
      </w:r>
    </w:p>
    <w:p>
      <w:r>
        <w:rPr>
          <w:b/>
          <w:color w:val="2E3440"/>
          <w:sz w:val="24"/>
        </w:rPr>
        <w:t>Qlik Sense Enterprise on Windows (QSEoW)</w:t>
      </w:r>
    </w:p>
    <w:p>
      <w:pPr>
        <w:pStyle w:val="ListBullet"/>
      </w:pPr>
      <w:r>
        <w:t>En la QMC → Extensiones → Importar, suba el archivo .zip. La extensión queda disponible de inmediato.</w:t>
      </w:r>
    </w:p>
    <w:p>
      <w:r>
        <w:rPr>
          <w:b/>
          <w:color w:val="2E3440"/>
          <w:sz w:val="24"/>
        </w:rPr>
        <w:t>Añadir el asistente a una hoja</w:t>
      </w:r>
    </w:p>
    <w:p>
      <w:pPr>
        <w:pStyle w:val="ListBullet"/>
      </w:pPr>
      <w:r>
        <w:t>Abra una app en modo edición, busque la visualización “Anthropic AI Assistant” y arrástrela a la hoja. Aparecerá un botón anclado en la parte inferior derecha, que se expandirá en un panel flotante.</w:t>
      </w:r>
    </w:p>
    <w:p>
      <w:pPr>
        <w:pStyle w:val="ListBullet"/>
      </w:pPr>
      <w:r>
        <w:t>El objeto solo debe añadirse una única vez y no es necesario especificar ningún título. En las propiedades del objeto se configura la URL del proxy.</w:t>
      </w:r>
    </w:p>
    <w:p>
      <w:r>
        <w:rPr>
          <w:b/>
          <w:color w:val="C15F3C"/>
          <w:sz w:val="30"/>
        </w:rPr>
        <w:t>4. Configuración inicial (panel de propiedades)</w:t>
      </w:r>
    </w:p>
    <w:p>
      <w:r>
        <w:t>En el panel de propiedades del objeto, sección “Anthropic AI Settings”, configure:</w:t>
      </w:r>
    </w:p>
    <w:tbl>
      <w:tblPr>
        <w:tblStyle w:val="TableGrid"/>
        <w:tblW w:type="auto" w:w="0"/>
        <w:tblLook w:firstColumn="1" w:firstRow="1" w:lastColumn="0" w:lastRow="0" w:noHBand="0" w:noVBand="1" w:val="04A0"/>
      </w:tblPr>
      <w:tblGrid>
        <w:gridCol w:w="4824"/>
        <w:gridCol w:w="4824"/>
      </w:tblGrid>
      <w:tr>
        <w:tc>
          <w:tcPr>
            <w:tcW w:type="dxa" w:w="4824"/>
            <w:shd w:val="clear" w:fill="C15F3C"/>
          </w:tcPr>
          <w:p>
            <w:r/>
            <w:r>
              <w:rPr>
                <w:b/>
                <w:color w:val="FFFFFF"/>
                <w:sz w:val="20"/>
              </w:rPr>
              <w:t>Propiedad</w:t>
            </w:r>
          </w:p>
        </w:tc>
        <w:tc>
          <w:tcPr>
            <w:tcW w:type="dxa" w:w="4824"/>
            <w:shd w:val="clear" w:fill="C15F3C"/>
          </w:tcPr>
          <w:p>
            <w:r/>
            <w:r>
              <w:rPr>
                <w:b/>
                <w:color w:val="FFFFFF"/>
                <w:sz w:val="20"/>
              </w:rPr>
              <w:t>Descripción</w:t>
            </w:r>
          </w:p>
        </w:tc>
      </w:tr>
      <w:tr>
        <w:tc>
          <w:tcPr>
            <w:tcW w:type="dxa" w:w="4824"/>
          </w:tcPr>
          <w:p>
            <w:r/>
            <w:r>
              <w:rPr>
                <w:b w:val="0"/>
                <w:sz w:val="19"/>
              </w:rPr>
              <w:t>Default model</w:t>
            </w:r>
          </w:p>
        </w:tc>
        <w:tc>
          <w:tcPr>
            <w:tcW w:type="dxa" w:w="4824"/>
          </w:tcPr>
          <w:p>
            <w:r/>
            <w:r>
              <w:rPr>
                <w:b w:val="0"/>
                <w:sz w:val="19"/>
              </w:rPr>
              <w:t>Modelo con el que arranca cada sesión: “Haiku 4.5 (fast, low cost)” (predeterminado), “Sonnet 4.6 (balanced)”, “Opus 4.8 (most capable)” o un modelo local (Ministral vía Ollama). Puede cambiarlo en cualquier momento con “Pick model” en el panel.</w:t>
            </w:r>
          </w:p>
        </w:tc>
      </w:tr>
      <w:tr>
        <w:tc>
          <w:tcPr>
            <w:tcW w:type="dxa" w:w="4824"/>
          </w:tcPr>
          <w:p>
            <w:r/>
            <w:r>
              <w:rPr>
                <w:b w:val="0"/>
                <w:sz w:val="19"/>
              </w:rPr>
              <w:t>Proxy URL</w:t>
            </w:r>
          </w:p>
        </w:tc>
        <w:tc>
          <w:tcPr>
            <w:tcW w:type="dxa" w:w="4824"/>
          </w:tcPr>
          <w:p>
            <w:r/>
            <w:r>
              <w:rPr>
                <w:b w:val="0"/>
                <w:sz w:val="19"/>
              </w:rPr>
              <w:t>OBLIGATORIA. URL del proxy endurecido que guarda la clave y valida su sesión de Qlik, p. ej. https://su-host-qlik:3000/api/anthropic. Déjela en blanco para usar el valor por defecto de config.js.</w:t>
            </w:r>
          </w:p>
        </w:tc>
      </w:tr>
      <w:tr>
        <w:tc>
          <w:tcPr>
            <w:tcW w:type="dxa" w:w="4824"/>
          </w:tcPr>
          <w:p>
            <w:r/>
            <w:r>
              <w:rPr>
                <w:b w:val="0"/>
                <w:sz w:val="19"/>
              </w:rPr>
              <w:t>Local model URL</w:t>
            </w:r>
          </w:p>
        </w:tc>
        <w:tc>
          <w:tcPr>
            <w:tcW w:type="dxa" w:w="4824"/>
          </w:tcPr>
          <w:p>
            <w:r/>
            <w:r>
              <w:rPr>
                <w:b w:val="0"/>
                <w:sz w:val="19"/>
              </w:rPr>
              <w:t>Endpoint de Ollama a través del proxy HTTPS, usado cuando se selecciona un modelo local. Debe ser HTTPS en QSEoW, p. ej. https://localhost:3000/api/ollama.</w:t>
            </w:r>
          </w:p>
        </w:tc>
      </w:tr>
      <w:tr>
        <w:tc>
          <w:tcPr>
            <w:tcW w:type="dxa" w:w="4824"/>
          </w:tcPr>
          <w:p>
            <w:r/>
            <w:r>
              <w:rPr>
                <w:b w:val="0"/>
                <w:sz w:val="19"/>
              </w:rPr>
              <w:t>Log level</w:t>
            </w:r>
          </w:p>
        </w:tc>
        <w:tc>
          <w:tcPr>
            <w:tcW w:type="dxa" w:w="4824"/>
          </w:tcPr>
          <w:p>
            <w:r/>
            <w:r>
              <w:rPr>
                <w:b w:val="0"/>
                <w:sz w:val="19"/>
              </w:rPr>
              <w:t>Verbosidad de la consola del navegador: ERROR (solo errores), WARN (errores y avisos), INFO (además, acciones aceptadas) o DEBUG (todo). Baje a WARN/ERROR una vez superada la fase de pruebas.</w:t>
            </w:r>
          </w:p>
        </w:tc>
      </w:tr>
      <w:tr>
        <w:tc>
          <w:tcPr>
            <w:tcW w:type="dxa" w:w="4824"/>
          </w:tcPr>
          <w:p>
            <w:r/>
            <w:r>
              <w:rPr>
                <w:b w:val="0"/>
                <w:sz w:val="19"/>
              </w:rPr>
              <w:t>Versión</w:t>
            </w:r>
          </w:p>
        </w:tc>
        <w:tc>
          <w:tcPr>
            <w:tcW w:type="dxa" w:w="4824"/>
          </w:tcPr>
          <w:p>
            <w:r/>
            <w:r>
              <w:rPr>
                <w:b w:val="0"/>
                <w:sz w:val="19"/>
              </w:rPr>
              <w:t>Campo de solo lectura: “Version 0.5.0 · build 34”.</w:t>
            </w:r>
          </w:p>
        </w:tc>
      </w:tr>
    </w:tbl>
    <w:p/>
    <w:p>
      <w:r>
        <w:t>Ya no existe ninguna propiedad de “API key”: la clave vive únicamente en el proxy. Si la URL del proxy no está configurada, al enviar verá el mensaje: “Proxy URL is not configured. Set it in Edit object → Settings.”</w:t>
      </w:r>
    </w:p>
    <w:p>
      <w:r>
        <w:rPr>
          <w:b/>
          <w:color w:val="C15F3C"/>
          <w:sz w:val="30"/>
        </w:rPr>
        <w:t>5. Recorrido de la interfaz</w:t>
      </w:r>
    </w:p>
    <w:p>
      <w:pPr>
        <w:pStyle w:val="ListBullet"/>
      </w:pPr>
      <w:r>
        <w:t>Botón flotante (esquina inferior derecha): abre y cierra el panel.</w:t>
      </w:r>
    </w:p>
    <w:p>
      <w:pPr>
        <w:pStyle w:val="ListBullet"/>
      </w:pPr>
      <w:r>
        <w:t>Cabecera “AI Assistant” con botón de cierre “X”.</w:t>
      </w:r>
    </w:p>
    <w:p>
      <w:pPr>
        <w:pStyle w:val="ListBullet"/>
      </w:pPr>
      <w:r>
        <w:t>Estado de conexión: indica el proxy/endpoint configurado.</w:t>
      </w:r>
    </w:p>
    <w:p>
      <w:pPr>
        <w:pStyle w:val="ListBullet"/>
      </w:pPr>
      <w:r>
        <w:t>“Chart Selection”: botones “Add Chart” y “Clear All”, y las fichas (chips) de los gráficos seleccionados, hasta 5. Se pueden seleccionar gráficos de distintas hojas: el panel es un elemento persistente y permanece abierto al navegar por la aplicación.</w:t>
      </w:r>
    </w:p>
    <w:p>
      <w:pPr>
        <w:pStyle w:val="ListBullet"/>
      </w:pPr>
      <w:r>
        <w:t>“Ask about your data:”: el área de texto donde escribe su pregunta (prompt).</w:t>
      </w:r>
    </w:p>
    <w:p>
      <w:pPr>
        <w:pStyle w:val="ListBullet"/>
      </w:pPr>
      <w:r>
        <w:t>“Pick model”: selector de modelo en el propio panel (cambia el modelo de la conversación).</w:t>
      </w:r>
    </w:p>
    <w:p>
      <w:pPr>
        <w:pStyle w:val="ListBullet"/>
      </w:pPr>
      <w:r>
        <w:t>“Advanced Options”: ajustes de datos, estilo de análisis y streaming (desplegable).</w:t>
      </w:r>
    </w:p>
    <w:p>
      <w:pPr>
        <w:pStyle w:val="ListBullet"/>
      </w:pPr>
      <w:r>
        <w:t>“AI Conversation”: el hilo de la conversación, con botón “New chat” para empezar de nuevo.</w:t>
      </w:r>
    </w:p>
    <w:p>
      <w:r>
        <w:rPr>
          <w:b/>
          <w:color w:val="C15F3C"/>
          <w:sz w:val="30"/>
        </w:rPr>
        <w:t>6. Cómo usarlo, paso a paso</w:t>
      </w:r>
    </w:p>
    <w:p>
      <w:r>
        <w:rPr>
          <w:b/>
          <w:color w:val="2E3440"/>
          <w:sz w:val="24"/>
        </w:rPr>
        <w:t>6.1 Seleccionar uno o varios gráficos</w:t>
      </w:r>
    </w:p>
    <w:p>
      <w:pPr>
        <w:pStyle w:val="ListBullet"/>
      </w:pPr>
      <w:r>
        <w:t>Pulse “Add Chart”; el botón cambia a “Cancel” y se activa el modo de selección (la pista indica “Click a chart to add it”).</w:t>
      </w:r>
    </w:p>
    <w:p>
      <w:pPr>
        <w:pStyle w:val="ListBullet"/>
      </w:pPr>
      <w:r>
        <w:t>Haga clic en un gráfico del cuadro de mando: aparece como una ficha con su título y una “×” para quitarlo.</w:t>
      </w:r>
    </w:p>
    <w:p>
      <w:pPr>
        <w:pStyle w:val="ListBullet"/>
      </w:pPr>
      <w:r>
        <w:t>Puede seleccionar hasta 5 gráficos. Al alcanzar el límite verá “Maximum 5 charts.”.</w:t>
      </w:r>
    </w:p>
    <w:p>
      <w:pPr>
        <w:pStyle w:val="ListBullet"/>
      </w:pPr>
      <w:r>
        <w:t>“Clear All” quita todos los gráficos. Sin selección, la pista muestra “No charts selected”.</w:t>
      </w:r>
    </w:p>
    <w:p>
      <w:r>
        <w:rPr>
          <w:b/>
          <w:color w:val="2E3440"/>
          <w:sz w:val="24"/>
        </w:rPr>
        <w:t>6.2 Hacer una pregunta</w:t>
      </w:r>
    </w:p>
    <w:p>
      <w:pPr>
        <w:pStyle w:val="ListBullet"/>
      </w:pPr>
      <w:r>
        <w:t>Escriba su pregunta en “Ask about your data:” (p. ej. “¿Cuáles son los 5 clientes con mayor facturación?”).</w:t>
      </w:r>
    </w:p>
    <w:p>
      <w:pPr>
        <w:pStyle w:val="ListBullet"/>
      </w:pPr>
      <w:r>
        <w:t>Pulse “Submit”. El botón se deshabilita mientras hay una petición en curso o si no hay ningún gráfico seleccionado.</w:t>
      </w:r>
    </w:p>
    <w:p>
      <w:pPr>
        <w:pStyle w:val="ListBullet"/>
      </w:pPr>
      <w:r>
        <w:t>Mientras Claude responde se muestra el estado “Thinking…”. Con streaming activado, la respuesta aparece token a token.</w:t>
      </w:r>
    </w:p>
    <w:p>
      <w:r>
        <w:rPr>
          <w:b/>
          <w:color w:val="2E3440"/>
          <w:sz w:val="24"/>
        </w:rPr>
        <w:t>6.3 Leer la respuesta</w:t>
      </w:r>
    </w:p>
    <w:p>
      <w:pPr>
        <w:pStyle w:val="ListBullet"/>
      </w:pPr>
      <w:r>
        <w:t>La respuesta se muestra en el hilo, renderizada con formato Markdown (títulos, listas, negrita, código) y saneada.</w:t>
      </w:r>
    </w:p>
    <w:p>
      <w:pPr>
        <w:pStyle w:val="ListBullet"/>
      </w:pPr>
      <w:r>
        <w:t>Cada respuesta incluye un botón “Copy” que copia el texto al portapapeles (cambia a “Copied ✓”).</w:t>
      </w:r>
    </w:p>
    <w:p>
      <w:r>
        <w:rPr>
          <w:b/>
          <w:color w:val="2E3440"/>
          <w:sz w:val="24"/>
        </w:rPr>
        <w:t>6.4 Conversación de seguimiento</w:t>
      </w:r>
    </w:p>
    <w:p>
      <w:pPr>
        <w:pStyle w:val="ListBullet"/>
      </w:pPr>
      <w:r>
        <w:t>Puede seguir preguntando: la extensión conserva la memoria de la conversación (hasta 12 turnos; los más antiguos se descartan para optimizar el contexto).</w:t>
      </w:r>
    </w:p>
    <w:p>
      <w:pPr>
        <w:pStyle w:val="ListBullet"/>
      </w:pPr>
      <w:r>
        <w:t>“New chat” reinicia la conversación (mantiene los gráficos seleccionados). El contexto de la app se reenvía siempre junto con la primera pregunta de la nueva conversación.</w:t>
      </w:r>
    </w:p>
    <w:p>
      <w:pPr>
        <w:pStyle w:val="ListBullet"/>
      </w:pPr>
      <w:r>
        <w:t>Al cambiar de modelo se le avisa de que se limpiará la conversación en curso.</w:t>
      </w:r>
    </w:p>
    <w:p>
      <w:r>
        <w:rPr>
          <w:b/>
          <w:color w:val="2E3440"/>
          <w:sz w:val="24"/>
        </w:rPr>
        <w:t>6.5 Opciones avanzadas</w:t>
      </w:r>
    </w:p>
    <w:p>
      <w:r>
        <w:t>Despliegue “Advanced Options” para ajustar qué datos se envían y el estilo del análisis:</w:t>
      </w:r>
    </w:p>
    <w:p>
      <w:pPr>
        <w:pStyle w:val="ListBullet"/>
      </w:pPr>
      <w:r>
        <w:t>Data Settings: “Include app context (data model) on first message” (activado por defecto), “Max data rows” (predeterminado 1000; rango 10–10000), “Include numeric values”, “Simplify data structure”, “Include dimensions”, “Include measures”.</w:t>
      </w:r>
    </w:p>
    <w:p>
      <w:pPr>
        <w:pStyle w:val="ListBullet"/>
      </w:pPr>
      <w:r>
        <w:t>Analysis Style: “Business analyst (default)”, “Technical analyst”, “Executive summary” o “Custom” (con un área de texto para sus propias instrucciones de sistema).</w:t>
      </w:r>
    </w:p>
    <w:p>
      <w:pPr>
        <w:pStyle w:val="ListBullet"/>
      </w:pPr>
      <w:r>
        <w:t>Streaming: renderizado token a token de la respuesta (se desactiva automáticamente si el navegador o el proxy no pueden transmitir).</w:t>
      </w:r>
    </w:p>
    <w:p>
      <w:r>
        <w:rPr>
          <w:b/>
          <w:color w:val="2E3440"/>
          <w:sz w:val="24"/>
        </w:rPr>
        <w:t>6.6 Sugerir un gráfico</w:t>
      </w:r>
    </w:p>
    <w:p>
      <w:pPr>
        <w:pStyle w:val="ListBullet"/>
      </w:pPr>
      <w:r>
        <w:t>Tras recibir un análisis, pulse “Suggest a chart” (la IA propone un gráfico de Qlik; el estado muestra “Designing a chart…”).</w:t>
      </w:r>
    </w:p>
    <w:p>
      <w:pPr>
        <w:pStyle w:val="ListBullet"/>
      </w:pPr>
      <w:r>
        <w:t>Se muestra una vista previa del gráfico propuesto.</w:t>
      </w:r>
    </w:p>
    <w:p>
      <w:pPr>
        <w:pStyle w:val="ListBullet"/>
      </w:pPr>
      <w:r>
        <w:t>Con la hoja en modo edición, pulse “Add to sheet” para añadirlo. Fuera de edición verá “Open the sheet in Edit mode to add charts.”. Si la hoja está llena, se ofrece “Create a new sheet”.</w:t>
      </w:r>
    </w:p>
    <w:p>
      <w:pPr>
        <w:pStyle w:val="ListBullet"/>
        <w:ind w:left="1080"/>
      </w:pPr>
      <w:r>
        <w:t>Tipos soportados: bar, line, combo, pie, scatter, table, pivot-table, KPI, histogram, distribution, boxplot, waterfall, treemap, gauge, mekko y bullet. Los mapas no están soportados en esta versión.</w:t>
      </w:r>
    </w:p>
    <w:p>
      <w:r>
        <w:rPr>
          <w:b/>
          <w:color w:val="C15F3C"/>
          <w:sz w:val="30"/>
        </w:rPr>
        <w:t>7. Mensajes y avisos</w:t>
      </w:r>
    </w:p>
    <w:tbl>
      <w:tblPr>
        <w:tblStyle w:val="TableGrid"/>
        <w:tblW w:type="auto" w:w="0"/>
        <w:tblLook w:firstColumn="1" w:firstRow="1" w:lastColumn="0" w:lastRow="0" w:noHBand="0" w:noVBand="1" w:val="04A0"/>
      </w:tblPr>
      <w:tblGrid>
        <w:gridCol w:w="4824"/>
        <w:gridCol w:w="4824"/>
      </w:tblGrid>
      <w:tr>
        <w:tc>
          <w:tcPr>
            <w:tcW w:type="dxa" w:w="4824"/>
            <w:shd w:val="clear" w:fill="C15F3C"/>
          </w:tcPr>
          <w:p>
            <w:r/>
            <w:r>
              <w:rPr>
                <w:b/>
                <w:color w:val="FFFFFF"/>
                <w:sz w:val="20"/>
              </w:rPr>
              <w:t>Situación</w:t>
            </w:r>
          </w:p>
        </w:tc>
        <w:tc>
          <w:tcPr>
            <w:tcW w:type="dxa" w:w="4824"/>
            <w:shd w:val="clear" w:fill="C15F3C"/>
          </w:tcPr>
          <w:p>
            <w:r/>
            <w:r>
              <w:rPr>
                <w:b/>
                <w:color w:val="FFFFFF"/>
                <w:sz w:val="20"/>
              </w:rPr>
              <w:t>Mensaje / comportamiento</w:t>
            </w:r>
          </w:p>
        </w:tc>
      </w:tr>
      <w:tr>
        <w:tc>
          <w:tcPr>
            <w:tcW w:type="dxa" w:w="4824"/>
          </w:tcPr>
          <w:p>
            <w:r/>
            <w:r>
              <w:rPr>
                <w:b w:val="0"/>
                <w:sz w:val="19"/>
              </w:rPr>
              <w:t>Proxy sin configurar</w:t>
            </w:r>
          </w:p>
        </w:tc>
        <w:tc>
          <w:tcPr>
            <w:tcW w:type="dxa" w:w="4824"/>
          </w:tcPr>
          <w:p>
            <w:r/>
            <w:r>
              <w:rPr>
                <w:b w:val="0"/>
                <w:sz w:val="19"/>
              </w:rPr>
              <w:t>“Proxy URL is not configured. Set it in Edit object → Settings.” Configure la URL del proxy en las propiedades del objeto.</w:t>
            </w:r>
          </w:p>
        </w:tc>
      </w:tr>
      <w:tr>
        <w:tc>
          <w:tcPr>
            <w:tcW w:type="dxa" w:w="4824"/>
          </w:tcPr>
          <w:p>
            <w:r/>
            <w:r>
              <w:rPr>
                <w:b w:val="0"/>
                <w:sz w:val="19"/>
              </w:rPr>
              <w:t>Datos grandes (&gt; ~65 KB)</w:t>
            </w:r>
          </w:p>
        </w:tc>
        <w:tc>
          <w:tcPr>
            <w:tcW w:type="dxa" w:w="4824"/>
          </w:tcPr>
          <w:p>
            <w:r/>
            <w:r>
              <w:rPr>
                <w:b w:val="0"/>
                <w:sz w:val="19"/>
              </w:rPr>
              <w:t>Cuadro de confirmación: “The selected chart data is about N KB… Send it anyway?”. Puede cancelar y filtrar con selecciones, o continuar.</w:t>
            </w:r>
          </w:p>
        </w:tc>
      </w:tr>
      <w:tr>
        <w:tc>
          <w:tcPr>
            <w:tcW w:type="dxa" w:w="4824"/>
          </w:tcPr>
          <w:p>
            <w:r/>
            <w:r>
              <w:rPr>
                <w:b w:val="0"/>
                <w:sz w:val="19"/>
              </w:rPr>
              <w:t>Excede la ventana de contexto</w:t>
            </w:r>
          </w:p>
        </w:tc>
        <w:tc>
          <w:tcPr>
            <w:tcW w:type="dxa" w:w="4824"/>
          </w:tcPr>
          <w:p>
            <w:r/>
            <w:r>
              <w:rPr>
                <w:b w:val="0"/>
                <w:sz w:val="19"/>
              </w:rPr>
              <w:t>“This request is about N tokens, which exceeds the … context window…”. “OK” trunca los datos del gráfico para que quepan; “Cancel” detiene el envío.</w:t>
            </w:r>
          </w:p>
        </w:tc>
      </w:tr>
      <w:tr>
        <w:tc>
          <w:tcPr>
            <w:tcW w:type="dxa" w:w="4824"/>
          </w:tcPr>
          <w:p>
            <w:r/>
            <w:r>
              <w:rPr>
                <w:b w:val="0"/>
                <w:sz w:val="19"/>
              </w:rPr>
              <w:t>Payload demasiado grande (&gt; 1 MB)</w:t>
            </w:r>
          </w:p>
        </w:tc>
        <w:tc>
          <w:tcPr>
            <w:tcW w:type="dxa" w:w="4824"/>
          </w:tcPr>
          <w:p>
            <w:r/>
            <w:r>
              <w:rPr>
                <w:b w:val="0"/>
                <w:sz w:val="19"/>
              </w:rPr>
              <w:t>Bloqueo por el lado del cliente antes de enviar, para evitar un rechazo 413 del proxy con un mensaje menos claro.</w:t>
            </w:r>
          </w:p>
        </w:tc>
      </w:tr>
      <w:tr>
        <w:tc>
          <w:tcPr>
            <w:tcW w:type="dxa" w:w="4824"/>
          </w:tcPr>
          <w:p>
            <w:r/>
            <w:r>
              <w:rPr>
                <w:b w:val="0"/>
                <w:sz w:val="19"/>
              </w:rPr>
              <w:t>Proxy ocupado (503)</w:t>
            </w:r>
          </w:p>
        </w:tc>
        <w:tc>
          <w:tcPr>
            <w:tcW w:type="dxa" w:w="4824"/>
          </w:tcPr>
          <w:p>
            <w:r/>
            <w:r>
              <w:rPr>
                <w:b w:val="0"/>
                <w:sz w:val="19"/>
              </w:rPr>
              <w:t>Mensaje amable de “el servicio está ocupado, vuelva a intentarlo”. El proxy aplica control de admisión y cola con límite.</w:t>
            </w:r>
          </w:p>
        </w:tc>
      </w:tr>
      <w:tr>
        <w:tc>
          <w:tcPr>
            <w:tcW w:type="dxa" w:w="4824"/>
          </w:tcPr>
          <w:p>
            <w:r/>
            <w:r>
              <w:rPr>
                <w:b w:val="0"/>
                <w:sz w:val="19"/>
              </w:rPr>
              <w:t>Añadir gráfico sin modo edición</w:t>
            </w:r>
          </w:p>
        </w:tc>
        <w:tc>
          <w:tcPr>
            <w:tcW w:type="dxa" w:w="4824"/>
          </w:tcPr>
          <w:p>
            <w:r/>
            <w:r>
              <w:rPr>
                <w:b w:val="0"/>
                <w:sz w:val="19"/>
              </w:rPr>
              <w:t>“Open the sheet in Edit mode to add charts.”</w:t>
            </w:r>
          </w:p>
        </w:tc>
      </w:tr>
      <w:tr>
        <w:tc>
          <w:tcPr>
            <w:tcW w:type="dxa" w:w="4824"/>
          </w:tcPr>
          <w:p>
            <w:r/>
            <w:r>
              <w:rPr>
                <w:b w:val="0"/>
                <w:sz w:val="19"/>
              </w:rPr>
              <w:t>Error de red / sesión (401)</w:t>
            </w:r>
          </w:p>
        </w:tc>
        <w:tc>
          <w:tcPr>
            <w:tcW w:type="dxa" w:w="4824"/>
          </w:tcPr>
          <w:p>
            <w:r/>
            <w:r>
              <w:rPr>
                <w:b w:val="0"/>
                <w:sz w:val="19"/>
              </w:rPr>
              <w:t>Mensaje de error con el detalle. Un 401 indica que su sesión de Qlik no es válida o no está autenticada por el proxy. Tiempo de espera de 60 s (hosted) o 5 min (modelo local).</w:t>
            </w:r>
          </w:p>
        </w:tc>
      </w:tr>
    </w:tbl>
    <w:p/>
    <w:p>
      <w:r>
        <w:rPr>
          <w:b/>
          <w:color w:val="C15F3C"/>
          <w:sz w:val="30"/>
        </w:rPr>
        <w:t>8. Buenas prácticas y privacidad</w:t>
      </w:r>
    </w:p>
    <w:p>
      <w:pPr>
        <w:pStyle w:val="ListBullet"/>
      </w:pPr>
      <w:r>
        <w:t>Filtre los datos con selecciones antes de enviar: reduce tokens, coste y latencia, y evita superar la ventana de contexto del modelo.</w:t>
      </w:r>
    </w:p>
    <w:p>
      <w:pPr>
        <w:pStyle w:val="ListBullet"/>
      </w:pPr>
      <w:r>
        <w:t>Recuerde que, con modelos hospedados, los datos del gráfico salen del entorno hacia un LLM externo (Anthropic) a través del proxy, junto con nombres reales de tablas/campos y expresiones de ítems maestros en la primera pregunta.</w:t>
      </w:r>
    </w:p>
    <w:p>
      <w:pPr>
        <w:pStyle w:val="ListBullet"/>
      </w:pPr>
      <w:r>
        <w:t>Con un modelo local (Ollama) los datos permanecen en su infraestructura: útil para datos que no deben salir del perímetro.</w:t>
      </w:r>
    </w:p>
    <w:p>
      <w:pPr>
        <w:pStyle w:val="ListBullet"/>
      </w:pPr>
      <w:r>
        <w:t>La clave de API ya no está en el navegador: vive solo en el proxy (variable de entorno del servidor). El proxy autentica a quien llama mediante su sesión de Qlik.</w:t>
      </w:r>
    </w:p>
    <w:p>
      <w:pPr>
        <w:pStyle w:val="ListBullet"/>
      </w:pPr>
      <w:r>
        <w:t>Atienda al uso de la extensión con datos sensibles, regulados o personales salvo que la salida de esos datos esté expresamente permitida en su organización.</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