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  <w:r>
        <w:br/>
      </w:r>
      <w:r>
        <w:t xml:space="preserve">Математические</w:t>
      </w:r>
      <w:r>
        <w:t xml:space="preserve"> </w:t>
      </w:r>
      <w:r>
        <w:t xml:space="preserve">основы</w:t>
      </w:r>
      <w:r>
        <w:t xml:space="preserve"> </w:t>
      </w:r>
      <w:r>
        <w:t xml:space="preserve">защиты</w:t>
      </w:r>
      <w:r>
        <w:t xml:space="preserve"> </w:t>
      </w:r>
      <w:r>
        <w:t xml:space="preserve">информации</w:t>
      </w:r>
      <w:r>
        <w:t xml:space="preserve"> </w:t>
      </w:r>
      <w:r>
        <w:t xml:space="preserve">и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Subtitle"/>
      </w:pPr>
      <w:r>
        <w:t xml:space="preserve">Целочисленная</w:t>
      </w:r>
      <w:r>
        <w:t xml:space="preserve"> </w:t>
      </w:r>
      <w:r>
        <w:t xml:space="preserve">арифметика</w:t>
      </w:r>
      <w:r>
        <w:t xml:space="preserve"> </w:t>
      </w:r>
      <w:r>
        <w:t xml:space="preserve">многократной</w:t>
      </w:r>
      <w:r>
        <w:t xml:space="preserve"> </w:t>
      </w:r>
      <w:r>
        <w:t xml:space="preserve">точности</w:t>
      </w:r>
    </w:p>
    <w:p>
      <w:pPr>
        <w:pStyle w:val="Author"/>
      </w:pPr>
      <w:r>
        <w:t xml:space="preserve">Выполнил:</w:t>
      </w:r>
      <w:r>
        <w:t xml:space="preserve"> </w:t>
      </w:r>
      <w:r>
        <w:t xml:space="preserve">Мануэл</w:t>
      </w:r>
      <w:r>
        <w:t xml:space="preserve"> </w:t>
      </w:r>
      <w:r>
        <w:t xml:space="preserve">Марсия</w:t>
      </w:r>
      <w:r>
        <w:t xml:space="preserve"> </w:t>
      </w:r>
      <w:r>
        <w:t xml:space="preserve">Педру,</w:t>
      </w:r>
      <w:r>
        <w:br/>
      </w:r>
      <w:r>
        <w:t xml:space="preserve">НФИмд-02-25,</w:t>
      </w:r>
      <w:r>
        <w:t xml:space="preserve"> </w:t>
      </w:r>
      <w:r>
        <w:t xml:space="preserve">1032255503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алгоритмы для выполнения арифметических операций с большими целыми числами и научиться их реализовывать.</w:t>
      </w:r>
    </w:p>
    <w:bookmarkEnd w:id="20"/>
    <w:bookmarkStart w:id="4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27" w:name="X0af406854c33cbad8855b52ef5d6739f0dd83ae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Реализация алгоритма 1 (сложение неотрицательных целых чисел)</w:t>
      </w:r>
    </w:p>
    <w:p>
      <w:pPr>
        <w:pStyle w:val="FirstParagraph"/>
      </w:pPr>
      <w:r>
        <w:t xml:space="preserve">Выполним реализацию этого алгоритма на языке python (рис. 1) и (рис. 2):</w:t>
      </w:r>
    </w:p>
    <w:p>
      <w:pPr>
        <w:pStyle w:val="CaptionedFigure"/>
      </w:pPr>
      <w:r>
        <w:drawing>
          <wp:inline>
            <wp:extent cx="5334000" cy="2280868"/>
            <wp:effectExtent b="0" l="0" r="0" t="0"/>
            <wp:docPr descr="Реализация алгоритма 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0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Реализация алгоритма 1</w:t>
      </w:r>
    </w:p>
    <w:p>
      <w:pPr>
        <w:pStyle w:val="CaptionedFigure"/>
      </w:pPr>
      <w:r>
        <w:drawing>
          <wp:inline>
            <wp:extent cx="5334000" cy="2280868"/>
            <wp:effectExtent b="0" l="0" r="0" t="0"/>
            <wp:docPr descr="Реализация алгоритма 1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0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Реализация алгоритма 1</w:t>
      </w:r>
    </w:p>
    <w:bookmarkEnd w:id="27"/>
    <w:bookmarkStart w:id="31" w:name="Xaf7af7a8bf65606c2a1518762bb922605e5eb06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Реализация алгоритма 2 (вычитание неотрицательных целых чисел)</w:t>
      </w:r>
    </w:p>
    <w:p>
      <w:pPr>
        <w:pStyle w:val="FirstParagraph"/>
      </w:pPr>
      <w:r>
        <w:t xml:space="preserve">Выполним реализацию этого алгоритма на языке python (рис. 3):</w:t>
      </w:r>
    </w:p>
    <w:p>
      <w:pPr>
        <w:pStyle w:val="CaptionedFigure"/>
      </w:pPr>
      <w:r>
        <w:drawing>
          <wp:inline>
            <wp:extent cx="5334000" cy="2280868"/>
            <wp:effectExtent b="0" l="0" r="0" t="0"/>
            <wp:docPr descr="Реализация алгоритма 2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0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Реализация алгоритма 2</w:t>
      </w:r>
    </w:p>
    <w:bookmarkEnd w:id="31"/>
    <w:bookmarkStart w:id="35" w:name="Xe807953fb6a57c78b6e4d02a0b46447576d87ea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Реализация алгоритма 3 (умножение неотрицательных целых чисел столбиком)</w:t>
      </w:r>
    </w:p>
    <w:p>
      <w:pPr>
        <w:pStyle w:val="FirstParagraph"/>
      </w:pPr>
      <w:r>
        <w:t xml:space="preserve">Выполним реализацию этого алгоритма на языке python (рис. 4):</w:t>
      </w:r>
    </w:p>
    <w:p>
      <w:pPr>
        <w:pStyle w:val="CaptionedFigure"/>
      </w:pPr>
      <w:r>
        <w:drawing>
          <wp:inline>
            <wp:extent cx="5334000" cy="2280868"/>
            <wp:effectExtent b="0" l="0" r="0" t="0"/>
            <wp:docPr descr="Реализация алгоритма 3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0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Реализация алгоритма 3</w:t>
      </w:r>
    </w:p>
    <w:bookmarkEnd w:id="35"/>
    <w:bookmarkStart w:id="48" w:name="X8f194c0480a684e906d48e759c84bef70ac0140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Реализация алгоритма 5 (деление многоразрядных целых чисел)</w:t>
      </w:r>
    </w:p>
    <w:p>
      <w:pPr>
        <w:pStyle w:val="FirstParagraph"/>
      </w:pPr>
      <w:r>
        <w:t xml:space="preserve">Выполним реализацию этого алгоритма на языке python (рис. 5):</w:t>
      </w:r>
    </w:p>
    <w:p>
      <w:pPr>
        <w:pStyle w:val="CaptionedFigure"/>
      </w:pPr>
      <w:r>
        <w:drawing>
          <wp:inline>
            <wp:extent cx="5334000" cy="2280868"/>
            <wp:effectExtent b="0" l="0" r="0" t="0"/>
            <wp:docPr descr="Реализация алгоритма 5" title="" id="37" name="Picture"/>
            <a:graphic>
              <a:graphicData uri="http://schemas.openxmlformats.org/drawingml/2006/picture">
                <pic:pic>
                  <pic:nvPicPr>
                    <pic:cNvPr descr="image/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0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Реализация алгоритма 5</w:t>
      </w:r>
    </w:p>
    <w:p>
      <w:pPr>
        <w:pStyle w:val="BodyText"/>
      </w:pPr>
      <w:r>
        <w:t xml:space="preserve">Проверим работу алгоритмов (рис. 6):</w:t>
      </w:r>
    </w:p>
    <w:p>
      <w:pPr>
        <w:pStyle w:val="CaptionedFigure"/>
      </w:pPr>
      <w:r>
        <w:drawing>
          <wp:inline>
            <wp:extent cx="5334000" cy="2280868"/>
            <wp:effectExtent b="0" l="0" r="0" t="0"/>
            <wp:docPr descr="Проверка" title="" id="40" name="Picture"/>
            <a:graphic>
              <a:graphicData uri="http://schemas.openxmlformats.org/drawingml/2006/picture">
                <pic:pic>
                  <pic:nvPicPr>
                    <pic:cNvPr descr="image/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0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Проверка</w:t>
      </w:r>
    </w:p>
    <w:p>
      <w:pPr>
        <w:pStyle w:val="BodyText"/>
      </w:pPr>
      <w:r>
        <w:t xml:space="preserve">Проверим работу алгоритмов (рис. 7):</w:t>
      </w:r>
    </w:p>
    <w:p>
      <w:pPr>
        <w:pStyle w:val="CaptionedFigure"/>
      </w:pPr>
      <w:r>
        <w:drawing>
          <wp:inline>
            <wp:extent cx="5334000" cy="2280868"/>
            <wp:effectExtent b="0" l="0" r="0" t="0"/>
            <wp:docPr descr="Проверка" title="" id="43" name="Picture"/>
            <a:graphic>
              <a:graphicData uri="http://schemas.openxmlformats.org/drawingml/2006/picture">
                <pic:pic>
                  <pic:nvPicPr>
                    <pic:cNvPr descr="image/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0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Проверка</w:t>
      </w:r>
    </w:p>
    <w:p>
      <w:pPr>
        <w:pStyle w:val="BodyText"/>
      </w:pPr>
      <w:r>
        <w:t xml:space="preserve">Проверим работу алгоритмов (рис. 8):</w:t>
      </w:r>
    </w:p>
    <w:p>
      <w:pPr>
        <w:pStyle w:val="CaptionedFigure"/>
      </w:pPr>
      <w:r>
        <w:drawing>
          <wp:inline>
            <wp:extent cx="5334000" cy="2280868"/>
            <wp:effectExtent b="0" l="0" r="0" t="0"/>
            <wp:docPr descr="Проверка" title="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0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Проверка</w:t>
      </w:r>
    </w:p>
    <w:bookmarkEnd w:id="48"/>
    <w:bookmarkEnd w:id="49"/>
    <w:bookmarkStart w:id="50" w:name="список-литературы.-библиография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Список литературы. Библиография</w:t>
      </w:r>
    </w:p>
    <w:p>
      <w:pPr>
        <w:pStyle w:val="FirstParagraph"/>
      </w:pPr>
      <w:r>
        <w:t xml:space="preserve">:::</w:t>
      </w:r>
    </w:p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 Математические основы защиты информации и информационной безопасности</dc:title>
  <dc:creator>Выполнил: Мануэл Марсия Педру, НФИмд-02-25, 1032255503</dc:creator>
  <dc:language>ru-RU</dc:language>
  <cp:keywords/>
  <dcterms:created xsi:type="dcterms:W3CDTF">2026-01-12T11:22:02Z</dcterms:created>
  <dcterms:modified xsi:type="dcterms:W3CDTF">2026-01-12T11:22:02Z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Целочисленная арифметика многократной точности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