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oscillation_metric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Barbour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p>
      <w:r>
        <w:t xml:space="preserve">Load required R libraries for running the models.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(deSolve)</w:t>
      </w:r>
    </w:p>
    <w:p>
      <w:pPr>
        <w:pStyle w:val="SourceCode"/>
      </w:pPr>
      <w:r>
        <w:rPr>
          <w:rStyle w:val="VerbatimChar"/>
        </w:rPr>
        <w:t xml:space="preserve">## Loading required package: deSolve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(seqinr)</w:t>
      </w:r>
    </w:p>
    <w:p>
      <w:pPr>
        <w:pStyle w:val="SourceCode"/>
      </w:pPr>
      <w:r>
        <w:rPr>
          <w:rStyle w:val="VerbatimChar"/>
        </w:rPr>
        <w:t xml:space="preserve">## Loading required package: seqinr</w:t>
      </w:r>
    </w:p>
    <w:p>
      <w:r>
        <w:t xml:space="preserve">Setup the Rosenzweig-MacArthur Consumer-Resource model as formulated in Johnson and Amarasekare 2015.</w:t>
      </w:r>
    </w:p>
    <w:p>
      <w:pPr>
        <w:pStyle w:val="SourceCode"/>
      </w:pPr>
      <w:r>
        <w:rPr>
          <w:rStyle w:val="NormalTok"/>
        </w:rPr>
        <w:t xml:space="preserve">## Rosenzweig-MacArthur consumer-resource model </w:t>
      </w:r>
      <w:r>
        <w:br w:type="textWrapping"/>
      </w:r>
      <w:r>
        <w:rPr>
          <w:rStyle w:val="CommentTok"/>
        </w:rPr>
        <w:t xml:space="preserve"># assumes logistic resource growth and a type 2 functional response by the consumer (i.e. consumption rate saturates with resource density). This function is necessary for the ordinary differential equation solver, ode() </w:t>
      </w:r>
      <w:r>
        <w:br w:type="textWrapping"/>
      </w:r>
      <w:r>
        <w:rPr>
          <w:rStyle w:val="NormalTok"/>
        </w:rPr>
        <w:t xml:space="preserve">rmcr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function(t,y,p)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t,y,p is the necessary format for solving using the ode() function in 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(p),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dR.dt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dC.dt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(dR.dt,dC.dt)))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Set intial state variable (Resource and Consumer densities) for running the model. Note that it is not immediately clear what their initial state variable were so I just played around until I got ones that were close.</w:t>
      </w:r>
    </w:p>
    <w:p>
      <w:pPr>
        <w:pStyle w:val="SourceCode"/>
      </w:pPr>
      <w:r>
        <w:rPr>
          <w:rStyle w:val="CommentTok"/>
        </w:rPr>
        <w:t xml:space="preserve"># state variable values (initial values at beginning of "experiments")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i.state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C) </w:t>
      </w:r>
    </w:p>
    <w:p>
      <w:r>
        <w:t xml:space="preserve">Replicate Fig. 3a</w:t>
      </w:r>
    </w:p>
    <w:p>
      <w:pPr>
        <w:pStyle w:val="SourceCode"/>
      </w:pPr>
      <w:r>
        <w:rPr>
          <w:rStyle w:val="NormalTok"/>
        </w:rPr>
        <w:t xml:space="preserve">## Experiment 1: a * h / q &lt; 1</w:t>
      </w:r>
      <w:r>
        <w:br w:type="textWrapping"/>
      </w:r>
      <w:r>
        <w:br w:type="textWrapping"/>
      </w:r>
      <w:r>
        <w:rPr>
          <w:rStyle w:val="CommentTok"/>
        </w:rPr>
        <w:t xml:space="preserve"># parameter values for Harlequin bug and Trissolocus interaction, taken from Fig. 3 in Johnson &amp; Amarasekare 2015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 capita rate of increase in resource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estimate competition coefficient from field data for Harlequin bug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predator conversion efficiency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handling time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mortality rate of predator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attack rate of 1.3 instead of 1.2 more closely replicates the figures in the book</w:t>
      </w:r>
      <w:r>
        <w:br w:type="textWrapping"/>
      </w:r>
      <w:r>
        <w:br w:type="textWrapping"/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CommentTok"/>
        </w:rPr>
        <w:t xml:space="preserve"># 0.2664, which is lower than what was reported in the manuscript (0.35)</w:t>
      </w:r>
    </w:p>
    <w:p>
      <w:pPr>
        <w:pStyle w:val="SourceCode"/>
      </w:pPr>
      <w:r>
        <w:rPr>
          <w:rStyle w:val="VerbatimChar"/>
        </w:rPr>
        <w:t xml:space="preserve">## [1] 0.2664</w:t>
      </w:r>
    </w:p>
    <w:p>
      <w:pPr>
        <w:pStyle w:val="SourceCode"/>
      </w:pPr>
      <w:r>
        <w:rPr>
          <w:rStyle w:val="CommentTok"/>
        </w:rPr>
        <w:t xml:space="preserve"># run the experiment. This experiment essentially solves the model at the initial C and R densities, and takes the new C and R densities and reruns the model, and so on until the end of time.</w:t>
      </w:r>
      <w:r>
        <w:br w:type="textWrapping"/>
      </w:r>
      <w:r>
        <w:rPr>
          <w:rStyle w:val="NormalTok"/>
        </w:rPr>
        <w:t xml:space="preserve">p.rm1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d) </w:t>
      </w:r>
      <w:r>
        <w:rPr>
          <w:rStyle w:val="CommentTok"/>
        </w:rPr>
        <w:t xml:space="preserve"># create a vector for the parameters for experiment #1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time scale</w:t>
      </w:r>
      <w:r>
        <w:br w:type="textWrapping"/>
      </w:r>
      <w:r>
        <w:rPr>
          <w:rStyle w:val="NormalTok"/>
        </w:rPr>
        <w:t xml:space="preserve">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ode</w:t>
      </w:r>
      <w:r>
        <w:rPr>
          <w:rStyle w:val="NormalTok"/>
        </w:rPr>
        <w:t xml:space="preserve">(i.state,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 rmcr, p.rm1) </w:t>
      </w:r>
      <w:r>
        <w:rPr>
          <w:rStyle w:val="CommentTok"/>
        </w:rPr>
        <w:t xml:space="preserve"># run the experiment </w:t>
      </w:r>
      <w:r>
        <w:br w:type="textWrapping"/>
      </w:r>
      <w:r>
        <w:br w:type="textWrapping"/>
      </w:r>
      <w:r>
        <w:rPr>
          <w:rStyle w:val="CommentTok"/>
        </w:rPr>
        <w:t xml:space="preserve"># replicate Fig. 3a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(rm1[,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rm1[,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"Trissolcus interaction"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scillation_metri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Replicate Fig. 3b.</w:t>
      </w:r>
    </w:p>
    <w:p>
      <w:pPr>
        <w:pStyle w:val="SourceCode"/>
      </w:pPr>
      <w:r>
        <w:rPr>
          <w:rStyle w:val="NormalTok"/>
        </w:rPr>
        <w:t xml:space="preserve">##  parameters for Ooencyrtus interaction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1.32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CommentTok"/>
        </w:rPr>
        <w:t xml:space="preserve"># now is above threshold (i.e. &gt; 1)</w:t>
      </w:r>
    </w:p>
    <w:p>
      <w:pPr>
        <w:pStyle w:val="SourceCode"/>
      </w:pPr>
      <w:r>
        <w:rPr>
          <w:rStyle w:val="VerbatimChar"/>
        </w:rPr>
        <w:t xml:space="preserve">## [1] 1.056</w:t>
      </w:r>
    </w:p>
    <w:p>
      <w:pPr>
        <w:pStyle w:val="SourceCode"/>
      </w:pPr>
      <w:r>
        <w:rPr>
          <w:rStyle w:val="CommentTok"/>
        </w:rPr>
        <w:t xml:space="preserve"># set parameters and run the model for the same amount of time.</w:t>
      </w:r>
      <w:r>
        <w:br w:type="textWrapping"/>
      </w:r>
      <w:r>
        <w:rPr>
          <w:rStyle w:val="NormalTok"/>
        </w:rPr>
        <w:t xml:space="preserve">p.rm2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q)</w:t>
      </w:r>
      <w:r>
        <w:br w:type="textWrapping"/>
      </w:r>
      <w:r>
        <w:rPr>
          <w:rStyle w:val="NormalTok"/>
        </w:rPr>
        <w:t xml:space="preserve">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ode</w:t>
      </w:r>
      <w:r>
        <w:rPr>
          <w:rStyle w:val="NormalTok"/>
        </w:rPr>
        <w:t xml:space="preserve">(i.state,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 rmcr, p.rm2)</w:t>
      </w:r>
      <w:r>
        <w:br w:type="textWrapping"/>
      </w:r>
      <w:r>
        <w:br w:type="textWrapping"/>
      </w:r>
      <w:r>
        <w:rPr>
          <w:rStyle w:val="CommentTok"/>
        </w:rPr>
        <w:t xml:space="preserve"># plot densities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(rm2[,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],rm2[,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"Ooencyrtus interaction"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scillation_metri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After replicating these figures, it isn't exactly clear to me why a*h/q &lt; 1 is a threshold. It seems like both interactions are oscillating...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b57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oscillation_metric</dc:title>
  <dc:creator>Matthew Barbour</dc:creator>
  <dcterms:created xsi:type="dcterms:W3CDTF">2015-02-24</dcterms:created>
  <dcterms:modified xsi:type="dcterms:W3CDTF">2015-02-24</dcterms:modified>
</cp:coreProperties>
</file>