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z-204-azure-app-services"/>
    <w:p>
      <w:pPr>
        <w:pStyle w:val="Heading1"/>
      </w:pPr>
      <w:r>
        <w:t xml:space="preserve">AZ-204 — Azure App Services</w:t>
      </w:r>
    </w:p>
    <w:p>
      <w:pPr>
        <w:pStyle w:val="FirstParagraph"/>
      </w:pPr>
      <w:r>
        <w:t xml:space="preserve">This page explains</w:t>
      </w:r>
      <w:r>
        <w:t xml:space="preserve"> </w:t>
      </w:r>
      <w:r>
        <w:rPr>
          <w:b/>
          <w:bCs/>
        </w:rPr>
        <w:t xml:space="preserve">Azure App Services</w:t>
      </w:r>
      <w:r>
        <w:t xml:space="preserve"> </w:t>
      </w:r>
      <w:r>
        <w:t xml:space="preserve">the way AZ-204 expects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way real Azure developers use it in production.</w:t>
      </w:r>
    </w:p>
    <w:p>
      <w:pPr>
        <w:pStyle w:val="BodyText"/>
      </w:pPr>
      <w:r>
        <w:t xml:space="preserve">If you understand this page, you understand</w:t>
      </w:r>
      <w:r>
        <w:t xml:space="preserve"> </w:t>
      </w:r>
      <w:r>
        <w:rPr>
          <w:b/>
          <w:bCs/>
        </w:rPr>
        <w:t xml:space="preserve">how most Azure applications actually run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what-azure-app-service-really-is"/>
    <w:p>
      <w:pPr>
        <w:pStyle w:val="Heading2"/>
      </w:pPr>
      <w:r>
        <w:t xml:space="preserve">1. What Azure App Service Really Is</w:t>
      </w:r>
    </w:p>
    <w:p>
      <w:pPr>
        <w:pStyle w:val="FirstParagraph"/>
      </w:pPr>
      <w:r>
        <w:t xml:space="preserve">Azure App Service is: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managed PaaS</w:t>
      </w:r>
      <w:r>
        <w:t xml:space="preserve"> </w:t>
      </w:r>
      <w:r>
        <w:t xml:space="preserve">for running web applications and APIs</w:t>
      </w:r>
      <w:r>
        <w:t xml:space="preserve"> </w:t>
      </w:r>
      <w:r>
        <w:t xml:space="preserve">- Handles OS, patching, scaling, certificates</w:t>
      </w:r>
      <w:r>
        <w:t xml:space="preserve"> </w:t>
      </w:r>
      <w:r>
        <w:t xml:space="preserve">- Lets developers focus on</w:t>
      </w:r>
      <w:r>
        <w:t xml:space="preserve"> </w:t>
      </w:r>
      <w:r>
        <w:rPr>
          <w:b/>
          <w:bCs/>
        </w:rPr>
        <w:t xml:space="preserve">code + configuration</w:t>
      </w:r>
    </w:p>
    <w:p>
      <w:pPr>
        <w:pStyle w:val="BodyText"/>
      </w:pPr>
      <w:r>
        <w:t xml:space="preserve">It is NOT:</w:t>
      </w:r>
      <w:r>
        <w:t xml:space="preserve"> </w:t>
      </w:r>
      <w:r>
        <w:t xml:space="preserve">- A VM</w:t>
      </w:r>
      <w:r>
        <w:t xml:space="preserve"> </w:t>
      </w:r>
      <w:r>
        <w:t xml:space="preserve">- A container orchestrator (like AKS)</w:t>
      </w:r>
      <w:r>
        <w:t xml:space="preserve"> </w:t>
      </w:r>
      <w:r>
        <w:t xml:space="preserve">- Infrastructure you SSH into</w:t>
      </w:r>
    </w:p>
    <w:p>
      <w:pPr>
        <w:pStyle w:val="BlockText"/>
      </w:pPr>
      <w:r>
        <w:rPr>
          <w:b/>
          <w:bCs/>
        </w:rPr>
        <w:t xml:space="preserve">AZ-204 mindset:</w:t>
      </w:r>
      <w:r>
        <w:t xml:space="preserve"> </w:t>
      </w:r>
      <w:r>
        <w:t xml:space="preserve">You deploy apps, not servers.</w:t>
      </w:r>
    </w:p>
    <w:p>
      <w:r>
        <w:pict>
          <v:rect style="width:0;height:1.5pt" o:hralign="center" o:hrstd="t" o:hr="t"/>
        </w:pict>
      </w:r>
    </w:p>
    <w:bookmarkEnd w:id="20"/>
    <w:bookmarkStart w:id="23" w:name="core-building-blocks-must-know"/>
    <w:p>
      <w:pPr>
        <w:pStyle w:val="Heading2"/>
      </w:pPr>
      <w:r>
        <w:t xml:space="preserve">2. Core Building Blocks (Must Know)</w:t>
      </w:r>
    </w:p>
    <w:bookmarkStart w:id="21" w:name="app-service-plan"/>
    <w:p>
      <w:pPr>
        <w:pStyle w:val="Heading3"/>
      </w:pPr>
      <w:r>
        <w:t xml:space="preserve">App Service Plan</w:t>
      </w:r>
    </w:p>
    <w:p>
      <w:pPr>
        <w:pStyle w:val="Compact"/>
        <w:numPr>
          <w:ilvl w:val="0"/>
          <w:numId w:val="1001"/>
        </w:numPr>
      </w:pPr>
      <w:r>
        <w:t xml:space="preserve">Defines</w:t>
      </w:r>
      <w:r>
        <w:t xml:space="preserve"> </w:t>
      </w:r>
      <w:r>
        <w:rPr>
          <w:b/>
          <w:bCs/>
        </w:rPr>
        <w:t xml:space="preserve">compute resources</w:t>
      </w:r>
      <w:r>
        <w:t xml:space="preserve"> </w:t>
      </w:r>
      <w:r>
        <w:t xml:space="preserve">(CPU, memory)</w:t>
      </w:r>
    </w:p>
    <w:p>
      <w:pPr>
        <w:pStyle w:val="Compact"/>
        <w:numPr>
          <w:ilvl w:val="0"/>
          <w:numId w:val="1001"/>
        </w:numPr>
      </w:pPr>
      <w:r>
        <w:t xml:space="preserve">Determines pricing &amp; scaling</w:t>
      </w:r>
    </w:p>
    <w:p>
      <w:pPr>
        <w:pStyle w:val="Compact"/>
        <w:numPr>
          <w:ilvl w:val="0"/>
          <w:numId w:val="1001"/>
        </w:numPr>
      </w:pPr>
      <w:r>
        <w:t xml:space="preserve">Shared by multiple apps</w:t>
      </w:r>
    </w:p>
    <w:bookmarkEnd w:id="21"/>
    <w:bookmarkStart w:id="22" w:name="web-app"/>
    <w:p>
      <w:pPr>
        <w:pStyle w:val="Heading3"/>
      </w:pPr>
      <w:r>
        <w:t xml:space="preserve">Web App</w:t>
      </w:r>
    </w:p>
    <w:p>
      <w:pPr>
        <w:pStyle w:val="Compact"/>
        <w:numPr>
          <w:ilvl w:val="0"/>
          <w:numId w:val="1002"/>
        </w:numPr>
      </w:pPr>
      <w:r>
        <w:t xml:space="preserve">The actual application</w:t>
      </w:r>
    </w:p>
    <w:p>
      <w:pPr>
        <w:pStyle w:val="Compact"/>
        <w:numPr>
          <w:ilvl w:val="0"/>
          <w:numId w:val="1002"/>
        </w:numPr>
      </w:pPr>
      <w:r>
        <w:t xml:space="preserve">Runs inside an App Service Plan</w:t>
      </w:r>
    </w:p>
    <w:p>
      <w:pPr>
        <w:pStyle w:val="Compact"/>
        <w:numPr>
          <w:ilvl w:val="0"/>
          <w:numId w:val="1002"/>
        </w:numPr>
      </w:pPr>
      <w:r>
        <w:t xml:space="preserve">Has its own config, identity, and logs</w:t>
      </w:r>
    </w:p>
    <w:p>
      <w:pPr>
        <w:pStyle w:val="SourceCode"/>
      </w:pPr>
      <w:r>
        <w:rPr>
          <w:rStyle w:val="VerbatimChar"/>
        </w:rPr>
        <w:t xml:space="preserve">App Service Plan</w:t>
      </w:r>
      <w:r>
        <w:br/>
      </w:r>
      <w:r>
        <w:rPr>
          <w:rStyle w:val="VerbatimChar"/>
        </w:rPr>
        <w:t xml:space="preserve">   ├─ Web App A</w:t>
      </w:r>
      <w:r>
        <w:br/>
      </w:r>
      <w:r>
        <w:rPr>
          <w:rStyle w:val="VerbatimChar"/>
        </w:rPr>
        <w:t xml:space="preserve">   ├─ Web App B</w:t>
      </w:r>
    </w:p>
    <w:p>
      <w:pPr>
        <w:pStyle w:val="BlockText"/>
      </w:pPr>
      <w:r>
        <w:t xml:space="preserve">One plan → many apps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eployment-models-az-204-tested"/>
    <w:p>
      <w:pPr>
        <w:pStyle w:val="Heading2"/>
      </w:pPr>
      <w:r>
        <w:t xml:space="preserve">3. Deployment Models (AZ-204 Tested)</w:t>
      </w:r>
    </w:p>
    <w:bookmarkStart w:id="24" w:name="code-based-zip-build-pipeline"/>
    <w:p>
      <w:pPr>
        <w:pStyle w:val="Heading3"/>
      </w:pPr>
      <w:r>
        <w:t xml:space="preserve">1️⃣ Code-based (ZIP / build pipeline)</w:t>
      </w:r>
    </w:p>
    <w:p>
      <w:pPr>
        <w:pStyle w:val="Compact"/>
        <w:numPr>
          <w:ilvl w:val="0"/>
          <w:numId w:val="1003"/>
        </w:numPr>
      </w:pPr>
      <w:r>
        <w:t xml:space="preserve">.NET, Node, Java</w:t>
      </w:r>
    </w:p>
    <w:p>
      <w:pPr>
        <w:pStyle w:val="Compact"/>
        <w:numPr>
          <w:ilvl w:val="0"/>
          <w:numId w:val="1003"/>
        </w:numPr>
      </w:pPr>
      <w:r>
        <w:t xml:space="preserve">Pipeline builds → deploys</w:t>
      </w:r>
    </w:p>
    <w:bookmarkEnd w:id="24"/>
    <w:bookmarkStart w:id="25" w:name="container-based-modern-preferred"/>
    <w:p>
      <w:pPr>
        <w:pStyle w:val="Heading3"/>
      </w:pPr>
      <w:r>
        <w:t xml:space="preserve">2️⃣ Container-based (Modern &amp; Preferred)</w:t>
      </w:r>
    </w:p>
    <w:p>
      <w:pPr>
        <w:pStyle w:val="Compact"/>
        <w:numPr>
          <w:ilvl w:val="0"/>
          <w:numId w:val="1004"/>
        </w:numPr>
      </w:pPr>
      <w:r>
        <w:t xml:space="preserve">Docker image</w:t>
      </w:r>
    </w:p>
    <w:p>
      <w:pPr>
        <w:pStyle w:val="Compact"/>
        <w:numPr>
          <w:ilvl w:val="0"/>
          <w:numId w:val="1004"/>
        </w:numPr>
      </w:pPr>
      <w:r>
        <w:t xml:space="preserve">Image stored in</w:t>
      </w:r>
      <w:r>
        <w:t xml:space="preserve"> </w:t>
      </w:r>
      <w:r>
        <w:rPr>
          <w:b/>
          <w:bCs/>
        </w:rPr>
        <w:t xml:space="preserve">ACR</w:t>
      </w:r>
    </w:p>
    <w:p>
      <w:pPr>
        <w:pStyle w:val="Compact"/>
        <w:numPr>
          <w:ilvl w:val="0"/>
          <w:numId w:val="1004"/>
        </w:numPr>
      </w:pPr>
      <w:r>
        <w:t xml:space="preserve">Web App pulls image</w:t>
      </w:r>
    </w:p>
    <w:p>
      <w:pPr>
        <w:pStyle w:val="SourceCode"/>
      </w:pPr>
      <w:r>
        <w:rPr>
          <w:rStyle w:val="VerbatimChar"/>
        </w:rPr>
        <w:t xml:space="preserve">Pipeline → ACR → Web App</w:t>
      </w:r>
    </w:p>
    <w:p>
      <w:pPr>
        <w:pStyle w:val="FirstParagraph"/>
      </w:pPr>
      <w:r>
        <w:t xml:space="preserve">AZ-204 expects you to recognize</w:t>
      </w:r>
      <w:r>
        <w:t xml:space="preserve"> </w:t>
      </w:r>
      <w:r>
        <w:rPr>
          <w:b/>
          <w:bCs/>
        </w:rPr>
        <w:t xml:space="preserve">both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onfiguration-environment-variables"/>
    <w:p>
      <w:pPr>
        <w:pStyle w:val="Heading2"/>
      </w:pPr>
      <w:r>
        <w:t xml:space="preserve">4. Configuration &amp; Environment Variables</w:t>
      </w:r>
    </w:p>
    <w:bookmarkStart w:id="27" w:name="app-settings"/>
    <w:p>
      <w:pPr>
        <w:pStyle w:val="Heading3"/>
      </w:pPr>
      <w:r>
        <w:t xml:space="preserve">App Settings</w:t>
      </w:r>
    </w:p>
    <w:p>
      <w:pPr>
        <w:pStyle w:val="Compact"/>
        <w:numPr>
          <w:ilvl w:val="0"/>
          <w:numId w:val="1005"/>
        </w:numPr>
      </w:pPr>
      <w:r>
        <w:t xml:space="preserve">Key-value configuration</w:t>
      </w:r>
    </w:p>
    <w:p>
      <w:pPr>
        <w:pStyle w:val="Compact"/>
        <w:numPr>
          <w:ilvl w:val="0"/>
          <w:numId w:val="1005"/>
        </w:numPr>
      </w:pPr>
      <w:r>
        <w:t xml:space="preserve">Exposed as environment variables</w:t>
      </w:r>
    </w:p>
    <w:p>
      <w:pPr>
        <w:pStyle w:val="Compact"/>
        <w:numPr>
          <w:ilvl w:val="0"/>
          <w:numId w:val="1005"/>
        </w:numPr>
      </w:pPr>
      <w:r>
        <w:t xml:space="preserve">Used for:</w:t>
      </w:r>
    </w:p>
    <w:p>
      <w:pPr>
        <w:pStyle w:val="Compact"/>
        <w:numPr>
          <w:ilvl w:val="1"/>
          <w:numId w:val="1006"/>
        </w:numPr>
      </w:pPr>
      <w:r>
        <w:t xml:space="preserve">connection strings</w:t>
      </w:r>
    </w:p>
    <w:p>
      <w:pPr>
        <w:pStyle w:val="Compact"/>
        <w:numPr>
          <w:ilvl w:val="1"/>
          <w:numId w:val="1006"/>
        </w:numPr>
      </w:pPr>
      <w:r>
        <w:t xml:space="preserve">feature flags</w:t>
      </w:r>
    </w:p>
    <w:p>
      <w:pPr>
        <w:pStyle w:val="Compact"/>
        <w:numPr>
          <w:ilvl w:val="1"/>
          <w:numId w:val="1006"/>
        </w:numPr>
      </w:pPr>
      <w:r>
        <w:t xml:space="preserve">runtime config</w:t>
      </w:r>
    </w:p>
    <w:bookmarkEnd w:id="27"/>
    <w:bookmarkStart w:id="28" w:name="best-practice"/>
    <w:p>
      <w:pPr>
        <w:pStyle w:val="Heading3"/>
      </w:pPr>
      <w:r>
        <w:t xml:space="preserve">Best Practice</w:t>
      </w:r>
    </w:p>
    <w:p>
      <w:pPr>
        <w:pStyle w:val="Compact"/>
        <w:numPr>
          <w:ilvl w:val="0"/>
          <w:numId w:val="1007"/>
        </w:numPr>
      </w:pPr>
      <w:r>
        <w:t xml:space="preserve">Config ≠ code</w:t>
      </w:r>
    </w:p>
    <w:p>
      <w:pPr>
        <w:pStyle w:val="Compact"/>
        <w:numPr>
          <w:ilvl w:val="0"/>
          <w:numId w:val="1007"/>
        </w:numPr>
      </w:pPr>
      <w:r>
        <w:t xml:space="preserve">Secrets ≠ config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identity-security-very-important"/>
    <w:p>
      <w:pPr>
        <w:pStyle w:val="Heading2"/>
      </w:pPr>
      <w:r>
        <w:t xml:space="preserve">5. Identity &amp; Security (Very Important)</w:t>
      </w:r>
    </w:p>
    <w:bookmarkStart w:id="30" w:name="managed-identity"/>
    <w:p>
      <w:pPr>
        <w:pStyle w:val="Heading3"/>
      </w:pPr>
      <w:r>
        <w:t xml:space="preserve">Managed Identity</w:t>
      </w:r>
    </w:p>
    <w:p>
      <w:pPr>
        <w:pStyle w:val="FirstParagraph"/>
      </w:pPr>
      <w:r>
        <w:t xml:space="preserve">Each Web App can have:</w:t>
      </w:r>
      <w:r>
        <w:t xml:space="preserve"> </w:t>
      </w:r>
      <w:r>
        <w:t xml:space="preserve">- System-assigned MI</w:t>
      </w:r>
    </w:p>
    <w:p>
      <w:pPr>
        <w:pStyle w:val="BodyText"/>
      </w:pPr>
      <w:r>
        <w:t xml:space="preserve">Used to access:</w:t>
      </w:r>
      <w:r>
        <w:t xml:space="preserve"> </w:t>
      </w:r>
      <w:r>
        <w:t xml:space="preserve">- Key Vault</w:t>
      </w:r>
      <w:r>
        <w:t xml:space="preserve"> </w:t>
      </w:r>
      <w:r>
        <w:t xml:space="preserve">- Azure SQL</w:t>
      </w:r>
      <w:r>
        <w:t xml:space="preserve"> </w:t>
      </w:r>
      <w:r>
        <w:t xml:space="preserve">- Service Bus</w:t>
      </w:r>
      <w:r>
        <w:t xml:space="preserve"> </w:t>
      </w:r>
      <w:r>
        <w:t xml:space="preserve">- Storage</w:t>
      </w:r>
    </w:p>
    <w:p>
      <w:pPr>
        <w:pStyle w:val="SourceCode"/>
      </w:pPr>
      <w:r>
        <w:rPr>
          <w:rStyle w:val="VerbatimChar"/>
        </w:rPr>
        <w:t xml:space="preserve">Web App (MI)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Entra 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Azure Resource</w:t>
      </w:r>
    </w:p>
    <w:p>
      <w:pPr>
        <w:pStyle w:val="FirstParagraph"/>
      </w:pPr>
      <w:r>
        <w:t xml:space="preserve">No secrets. No passwords.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key-vault-integration"/>
    <w:p>
      <w:pPr>
        <w:pStyle w:val="Heading2"/>
      </w:pPr>
      <w:r>
        <w:t xml:space="preserve">6. Key Vault Integration</w:t>
      </w:r>
    </w:p>
    <w:bookmarkStart w:id="32" w:name="key-vault-references"/>
    <w:p>
      <w:pPr>
        <w:pStyle w:val="Heading3"/>
      </w:pPr>
      <w:r>
        <w:t xml:space="preserve">Key Vault References</w:t>
      </w:r>
    </w:p>
    <w:p>
      <w:pPr>
        <w:pStyle w:val="SourceCode"/>
      </w:pPr>
      <w:r>
        <w:rPr>
          <w:rStyle w:val="VerbatimChar"/>
        </w:rPr>
        <w:t xml:space="preserve">@Microsoft.KeyVault(SecretUri=...)</w:t>
      </w:r>
    </w:p>
    <w:p>
      <w:pPr>
        <w:pStyle w:val="Compact"/>
        <w:numPr>
          <w:ilvl w:val="0"/>
          <w:numId w:val="1008"/>
        </w:numPr>
      </w:pPr>
      <w:r>
        <w:t xml:space="preserve">App Service resolves secret at runtime</w:t>
      </w:r>
    </w:p>
    <w:p>
      <w:pPr>
        <w:pStyle w:val="Compact"/>
        <w:numPr>
          <w:ilvl w:val="0"/>
          <w:numId w:val="1008"/>
        </w:numPr>
      </w:pPr>
      <w:r>
        <w:t xml:space="preserve">Secret never stored in app config</w:t>
      </w:r>
    </w:p>
    <w:p>
      <w:pPr>
        <w:pStyle w:val="Compact"/>
        <w:numPr>
          <w:ilvl w:val="0"/>
          <w:numId w:val="1008"/>
        </w:numPr>
      </w:pPr>
      <w:r>
        <w:t xml:space="preserve">Requires KV RBAC permission</w:t>
      </w:r>
    </w:p>
    <w:p>
      <w:pPr>
        <w:pStyle w:val="FirstParagraph"/>
      </w:pPr>
      <w:r>
        <w:t xml:space="preserve">AZ-204 tests this pattern.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caling-availability-exam-level"/>
    <w:p>
      <w:pPr>
        <w:pStyle w:val="Heading2"/>
      </w:pPr>
      <w:r>
        <w:t xml:space="preserve">7. Scaling &amp; Availability (Exam Level)</w:t>
      </w:r>
    </w:p>
    <w:bookmarkStart w:id="34" w:name="scale-up"/>
    <w:p>
      <w:pPr>
        <w:pStyle w:val="Heading3"/>
      </w:pPr>
      <w:r>
        <w:t xml:space="preserve">Scale Up</w:t>
      </w:r>
    </w:p>
    <w:p>
      <w:pPr>
        <w:pStyle w:val="Compact"/>
        <w:numPr>
          <w:ilvl w:val="0"/>
          <w:numId w:val="1009"/>
        </w:numPr>
      </w:pPr>
      <w:r>
        <w:t xml:space="preserve">Change plan SKU</w:t>
      </w:r>
    </w:p>
    <w:p>
      <w:pPr>
        <w:pStyle w:val="Compact"/>
        <w:numPr>
          <w:ilvl w:val="0"/>
          <w:numId w:val="1009"/>
        </w:numPr>
      </w:pPr>
      <w:r>
        <w:t xml:space="preserve">More CPU / RAM</w:t>
      </w:r>
    </w:p>
    <w:bookmarkEnd w:id="34"/>
    <w:bookmarkStart w:id="35" w:name="scale-out"/>
    <w:p>
      <w:pPr>
        <w:pStyle w:val="Heading3"/>
      </w:pPr>
      <w:r>
        <w:t xml:space="preserve">Scale Out</w:t>
      </w:r>
    </w:p>
    <w:p>
      <w:pPr>
        <w:pStyle w:val="Compact"/>
        <w:numPr>
          <w:ilvl w:val="0"/>
          <w:numId w:val="1010"/>
        </w:numPr>
      </w:pPr>
      <w:r>
        <w:t xml:space="preserve">Multiple instances</w:t>
      </w:r>
    </w:p>
    <w:p>
      <w:pPr>
        <w:pStyle w:val="Compact"/>
        <w:numPr>
          <w:ilvl w:val="0"/>
          <w:numId w:val="1010"/>
        </w:numPr>
      </w:pPr>
      <w:r>
        <w:t xml:space="preserve">Automatic or manual</w:t>
      </w:r>
    </w:p>
    <w:bookmarkEnd w:id="35"/>
    <w:bookmarkStart w:id="36" w:name="always-on"/>
    <w:p>
      <w:pPr>
        <w:pStyle w:val="Heading3"/>
      </w:pPr>
      <w:r>
        <w:t xml:space="preserve">Always On</w:t>
      </w:r>
    </w:p>
    <w:p>
      <w:pPr>
        <w:pStyle w:val="Compact"/>
        <w:numPr>
          <w:ilvl w:val="0"/>
          <w:numId w:val="1011"/>
        </w:numPr>
      </w:pPr>
      <w:r>
        <w:t xml:space="preserve">Prevents cold starts</w:t>
      </w:r>
    </w:p>
    <w:p>
      <w:pPr>
        <w:pStyle w:val="Compact"/>
        <w:numPr>
          <w:ilvl w:val="0"/>
          <w:numId w:val="1011"/>
        </w:numPr>
      </w:pPr>
      <w:r>
        <w:t xml:space="preserve">Important for APIs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eployment-slots-common-question"/>
    <w:p>
      <w:pPr>
        <w:pStyle w:val="Heading2"/>
      </w:pPr>
      <w:r>
        <w:t xml:space="preserve">8. Deployment Slots (Common Question)</w:t>
      </w:r>
    </w:p>
    <w:bookmarkStart w:id="38" w:name="what-slots-are"/>
    <w:p>
      <w:pPr>
        <w:pStyle w:val="Heading3"/>
      </w:pPr>
      <w:r>
        <w:t xml:space="preserve">What Slots Are</w:t>
      </w:r>
    </w:p>
    <w:p>
      <w:pPr>
        <w:pStyle w:val="Compact"/>
        <w:numPr>
          <w:ilvl w:val="0"/>
          <w:numId w:val="1012"/>
        </w:numPr>
      </w:pPr>
      <w:r>
        <w:t xml:space="preserve">Separate runtime environments</w:t>
      </w:r>
    </w:p>
    <w:p>
      <w:pPr>
        <w:pStyle w:val="Compact"/>
        <w:numPr>
          <w:ilvl w:val="0"/>
          <w:numId w:val="1012"/>
        </w:numPr>
      </w:pPr>
      <w:r>
        <w:t xml:space="preserve">Same App Service Plan</w:t>
      </w:r>
    </w:p>
    <w:bookmarkEnd w:id="38"/>
    <w:bookmarkStart w:id="39" w:name="why-use-them"/>
    <w:p>
      <w:pPr>
        <w:pStyle w:val="Heading3"/>
      </w:pPr>
      <w:r>
        <w:t xml:space="preserve">Why Use Them</w:t>
      </w:r>
    </w:p>
    <w:p>
      <w:pPr>
        <w:pStyle w:val="Compact"/>
        <w:numPr>
          <w:ilvl w:val="0"/>
          <w:numId w:val="1013"/>
        </w:numPr>
      </w:pPr>
      <w:r>
        <w:t xml:space="preserve">Blue/green deployments</w:t>
      </w:r>
    </w:p>
    <w:p>
      <w:pPr>
        <w:pStyle w:val="Compact"/>
        <w:numPr>
          <w:ilvl w:val="0"/>
          <w:numId w:val="1013"/>
        </w:numPr>
      </w:pPr>
      <w:r>
        <w:t xml:space="preserve">Zero-downtime releases</w:t>
      </w:r>
    </w:p>
    <w:p>
      <w:pPr>
        <w:pStyle w:val="Compact"/>
        <w:numPr>
          <w:ilvl w:val="0"/>
          <w:numId w:val="1013"/>
        </w:numPr>
      </w:pPr>
      <w:r>
        <w:t xml:space="preserve">Rollback support</w:t>
      </w:r>
    </w:p>
    <w:p>
      <w:pPr>
        <w:pStyle w:val="SourceCode"/>
      </w:pPr>
      <w:r>
        <w:rPr>
          <w:rStyle w:val="VerbatimChar"/>
        </w:rPr>
        <w:t xml:space="preserve">Production ↔ Staging</w:t>
      </w:r>
    </w:p>
    <w:p>
      <w:pPr>
        <w:pStyle w:val="FirstParagraph"/>
      </w:pPr>
      <w:r>
        <w:t xml:space="preserve">Slots share compute, not config.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logging-monitoring"/>
    <w:p>
      <w:pPr>
        <w:pStyle w:val="Heading2"/>
      </w:pPr>
      <w:r>
        <w:t xml:space="preserve">9. Logging &amp; Monitoring</w:t>
      </w:r>
    </w:p>
    <w:bookmarkStart w:id="41" w:name="built-in-logs"/>
    <w:p>
      <w:pPr>
        <w:pStyle w:val="Heading3"/>
      </w:pPr>
      <w:r>
        <w:t xml:space="preserve">Built-in Logs</w:t>
      </w:r>
    </w:p>
    <w:p>
      <w:pPr>
        <w:pStyle w:val="Compact"/>
        <w:numPr>
          <w:ilvl w:val="0"/>
          <w:numId w:val="1014"/>
        </w:numPr>
      </w:pPr>
      <w:r>
        <w:t xml:space="preserve">Application logs</w:t>
      </w:r>
    </w:p>
    <w:p>
      <w:pPr>
        <w:pStyle w:val="Compact"/>
        <w:numPr>
          <w:ilvl w:val="0"/>
          <w:numId w:val="1014"/>
        </w:numPr>
      </w:pPr>
      <w:r>
        <w:t xml:space="preserve">HTTP logs</w:t>
      </w:r>
    </w:p>
    <w:p>
      <w:pPr>
        <w:pStyle w:val="Compact"/>
        <w:numPr>
          <w:ilvl w:val="0"/>
          <w:numId w:val="1014"/>
        </w:numPr>
      </w:pPr>
      <w:r>
        <w:t xml:space="preserve">Platform logs</w:t>
      </w:r>
    </w:p>
    <w:bookmarkEnd w:id="41"/>
    <w:bookmarkStart w:id="42" w:name="application-insights"/>
    <w:p>
      <w:pPr>
        <w:pStyle w:val="Heading3"/>
      </w:pPr>
      <w:r>
        <w:t xml:space="preserve">Application Insights</w:t>
      </w:r>
    </w:p>
    <w:p>
      <w:pPr>
        <w:pStyle w:val="Compact"/>
        <w:numPr>
          <w:ilvl w:val="0"/>
          <w:numId w:val="1015"/>
        </w:numPr>
      </w:pPr>
      <w:r>
        <w:t xml:space="preserve">Request tracing</w:t>
      </w:r>
    </w:p>
    <w:p>
      <w:pPr>
        <w:pStyle w:val="Compact"/>
        <w:numPr>
          <w:ilvl w:val="0"/>
          <w:numId w:val="1015"/>
        </w:numPr>
      </w:pPr>
      <w:r>
        <w:t xml:space="preserve">Failures</w:t>
      </w:r>
    </w:p>
    <w:p>
      <w:pPr>
        <w:pStyle w:val="Compact"/>
        <w:numPr>
          <w:ilvl w:val="0"/>
          <w:numId w:val="1015"/>
        </w:numPr>
      </w:pPr>
      <w:r>
        <w:t xml:space="preserve">Dependencies</w:t>
      </w:r>
    </w:p>
    <w:p>
      <w:pPr>
        <w:pStyle w:val="Compact"/>
        <w:numPr>
          <w:ilvl w:val="0"/>
          <w:numId w:val="1015"/>
        </w:numPr>
      </w:pPr>
      <w:r>
        <w:t xml:space="preserve">Performance metrics</w:t>
      </w:r>
    </w:p>
    <w:p>
      <w:pPr>
        <w:pStyle w:val="FirstParagraph"/>
      </w:pPr>
      <w:r>
        <w:t xml:space="preserve">App Service integrates natively.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etworking-access-basic-awareness"/>
    <w:p>
      <w:pPr>
        <w:pStyle w:val="Heading2"/>
      </w:pPr>
      <w:r>
        <w:t xml:space="preserve">10. Networking &amp; Access (Basic Awareness)</w:t>
      </w:r>
    </w:p>
    <w:p>
      <w:pPr>
        <w:pStyle w:val="Compact"/>
        <w:numPr>
          <w:ilvl w:val="0"/>
          <w:numId w:val="1016"/>
        </w:numPr>
      </w:pPr>
      <w:r>
        <w:t xml:space="preserve">Public endpoint by default</w:t>
      </w:r>
    </w:p>
    <w:p>
      <w:pPr>
        <w:pStyle w:val="Compact"/>
        <w:numPr>
          <w:ilvl w:val="0"/>
          <w:numId w:val="1016"/>
        </w:numPr>
      </w:pPr>
      <w:r>
        <w:t xml:space="preserve">IP restrictions</w:t>
      </w:r>
    </w:p>
    <w:p>
      <w:pPr>
        <w:pStyle w:val="Compact"/>
        <w:numPr>
          <w:ilvl w:val="0"/>
          <w:numId w:val="1016"/>
        </w:numPr>
      </w:pPr>
      <w:r>
        <w:t xml:space="preserve">Private Endpoint (concept only)</w:t>
      </w:r>
    </w:p>
    <w:p>
      <w:pPr>
        <w:pStyle w:val="FirstParagraph"/>
      </w:pPr>
      <w:r>
        <w:t xml:space="preserve">AZ-204 only expects awareness.</w:t>
      </w:r>
    </w:p>
    <w:p>
      <w:r>
        <w:pict>
          <v:rect style="width:0;height:1.5pt" o:hralign="center" o:hrstd="t" o:hr="t"/>
        </w:pict>
      </w:r>
    </w:p>
    <w:bookmarkEnd w:id="44"/>
    <w:bookmarkStart w:id="48" w:name="common-interview-exam-scenarios"/>
    <w:p>
      <w:pPr>
        <w:pStyle w:val="Heading2"/>
      </w:pPr>
      <w:r>
        <w:t xml:space="preserve">11. Common Interview / Exam Scenarios</w:t>
      </w:r>
    </w:p>
    <w:bookmarkStart w:id="45" w:name="scenario-secure-db-access"/>
    <w:p>
      <w:pPr>
        <w:pStyle w:val="Heading3"/>
      </w:pPr>
      <w:r>
        <w:t xml:space="preserve">Scenario: Secure DB Access</w:t>
      </w:r>
    </w:p>
    <w:p>
      <w:pPr>
        <w:pStyle w:val="Compact"/>
        <w:numPr>
          <w:ilvl w:val="0"/>
          <w:numId w:val="1017"/>
        </w:numPr>
      </w:pPr>
      <w:r>
        <w:t xml:space="preserve">Use Managed Identity</w:t>
      </w:r>
    </w:p>
    <w:p>
      <w:pPr>
        <w:pStyle w:val="Compact"/>
        <w:numPr>
          <w:ilvl w:val="0"/>
          <w:numId w:val="1017"/>
        </w:numPr>
      </w:pPr>
      <w:r>
        <w:t xml:space="preserve">Grant RBAC / AAD access</w:t>
      </w:r>
    </w:p>
    <w:p>
      <w:pPr>
        <w:pStyle w:val="Compact"/>
        <w:numPr>
          <w:ilvl w:val="0"/>
          <w:numId w:val="1017"/>
        </w:numPr>
      </w:pPr>
      <w:r>
        <w:t xml:space="preserve">No connection string secrets</w:t>
      </w:r>
    </w:p>
    <w:bookmarkEnd w:id="45"/>
    <w:bookmarkStart w:id="46" w:name="scenario-zero-downtime-deployment"/>
    <w:p>
      <w:pPr>
        <w:pStyle w:val="Heading3"/>
      </w:pPr>
      <w:r>
        <w:t xml:space="preserve">Scenario: Zero Downtime Deployment</w:t>
      </w:r>
    </w:p>
    <w:p>
      <w:pPr>
        <w:pStyle w:val="Compact"/>
        <w:numPr>
          <w:ilvl w:val="0"/>
          <w:numId w:val="1018"/>
        </w:numPr>
      </w:pPr>
      <w:r>
        <w:t xml:space="preserve">Use deployment slots</w:t>
      </w:r>
    </w:p>
    <w:p>
      <w:pPr>
        <w:pStyle w:val="Compact"/>
        <w:numPr>
          <w:ilvl w:val="0"/>
          <w:numId w:val="1018"/>
        </w:numPr>
      </w:pPr>
      <w:r>
        <w:t xml:space="preserve">Swap after validation</w:t>
      </w:r>
    </w:p>
    <w:bookmarkEnd w:id="46"/>
    <w:bookmarkStart w:id="47" w:name="scenario-config-changes"/>
    <w:p>
      <w:pPr>
        <w:pStyle w:val="Heading3"/>
      </w:pPr>
      <w:r>
        <w:t xml:space="preserve">Scenario: Config Changes</w:t>
      </w:r>
    </w:p>
    <w:p>
      <w:pPr>
        <w:pStyle w:val="Compact"/>
        <w:numPr>
          <w:ilvl w:val="0"/>
          <w:numId w:val="1019"/>
        </w:numPr>
      </w:pPr>
      <w:r>
        <w:t xml:space="preserve">Update App Settings</w:t>
      </w:r>
    </w:p>
    <w:p>
      <w:pPr>
        <w:pStyle w:val="Compact"/>
        <w:numPr>
          <w:ilvl w:val="0"/>
          <w:numId w:val="1019"/>
        </w:numPr>
      </w:pPr>
      <w:r>
        <w:t xml:space="preserve">Restart not always required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what-az-204-cares-about-explicit"/>
    <w:p>
      <w:pPr>
        <w:pStyle w:val="Heading2"/>
      </w:pPr>
      <w:r>
        <w:t xml:space="preserve">12. What AZ-204 Cares About (Explicit)</w:t>
      </w:r>
    </w:p>
    <w:p>
      <w:pPr>
        <w:pStyle w:val="FirstParagraph"/>
      </w:pPr>
      <w:r>
        <w:t xml:space="preserve">AZ-204 expects you to:</w:t>
      </w:r>
      <w:r>
        <w:t xml:space="preserve"> </w:t>
      </w:r>
      <w:r>
        <w:t xml:space="preserve">- Choose App Service correctly</w:t>
      </w:r>
      <w:r>
        <w:t xml:space="preserve"> </w:t>
      </w:r>
      <w:r>
        <w:t xml:space="preserve">- Deploy apps securely</w:t>
      </w:r>
      <w:r>
        <w:t xml:space="preserve"> </w:t>
      </w:r>
      <w:r>
        <w:t xml:space="preserve">- Configure identity</w:t>
      </w:r>
      <w:r>
        <w:t xml:space="preserve"> </w:t>
      </w:r>
      <w:r>
        <w:t xml:space="preserve">- Use slots</w:t>
      </w:r>
      <w:r>
        <w:t xml:space="preserve"> </w:t>
      </w:r>
      <w:r>
        <w:t xml:space="preserve">- Enable monitoring</w:t>
      </w:r>
    </w:p>
    <w:p>
      <w:pPr>
        <w:pStyle w:val="BodyText"/>
      </w:pPr>
      <w:r>
        <w:t xml:space="preserve">Not to manage servers.</w:t>
      </w:r>
    </w:p>
    <w:p>
      <w:r>
        <w:pict>
          <v:rect style="width:0;height:1.5pt" o:hralign="center" o:hrstd="t" o:hr="t"/>
        </w:pict>
      </w:r>
    </w:p>
    <w:bookmarkEnd w:id="49"/>
    <w:bookmarkStart w:id="50" w:name="final-mental-model"/>
    <w:p>
      <w:pPr>
        <w:pStyle w:val="Heading2"/>
      </w:pPr>
      <w:r>
        <w:t xml:space="preserve">Final Mental Model</w:t>
      </w:r>
    </w:p>
    <w:p>
      <w:pPr>
        <w:pStyle w:val="SourceCode"/>
      </w:pPr>
      <w:r>
        <w:rPr>
          <w:rStyle w:val="VerbatimChar"/>
        </w:rPr>
        <w:t xml:space="preserve">Code → Deploy → Configure → Secure → Scale → Monitor</w:t>
      </w:r>
    </w:p>
    <w:p>
      <w:pPr>
        <w:pStyle w:val="FirstParagraph"/>
      </w:pPr>
      <w:r>
        <w:t xml:space="preserve">If you can explain App Service this way, you:</w:t>
      </w:r>
      <w:r>
        <w:t xml:space="preserve"> </w:t>
      </w:r>
      <w:r>
        <w:t xml:space="preserve">- pass AZ-204</w:t>
      </w:r>
      <w:r>
        <w:t xml:space="preserve"> </w:t>
      </w:r>
      <w:r>
        <w:t xml:space="preserve">- outperform most candidates</w:t>
      </w:r>
      <w:r>
        <w:t xml:space="preserve"> </w:t>
      </w:r>
      <w:r>
        <w:t xml:space="preserve">- think like an Azure Developer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Azure App Service is the backbone of most Azure apps — master this and everything else fits.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2025-12-28T19:57:09Z</dcterms:created>
  <dcterms:modified xsi:type="dcterms:W3CDTF">2025-12-28T19:57:09Z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