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azure-container-apps-aca"/>
    <w:p>
      <w:pPr>
        <w:pStyle w:val="Heading1"/>
      </w:pPr>
      <w:r>
        <w:t xml:space="preserve">Azure Container Apps (ACA)</w:t>
      </w:r>
    </w:p>
    <w:bookmarkStart w:id="20" w:name="introduction"/>
    <w:p>
      <w:pPr>
        <w:pStyle w:val="Heading2"/>
      </w:pPr>
      <w:r>
        <w:t xml:space="preserve">1. Introduction</w:t>
      </w:r>
    </w:p>
    <w:p>
      <w:pPr>
        <w:pStyle w:val="FirstParagraph"/>
      </w:pPr>
      <w:r>
        <w:t xml:space="preserve">Azure Container Apps (ACA) is a fully managed, serverless container platform designed for running containerized applications without the operational complexity of managing virtual machines or Kubernetes clusters. It combines the simplicity of Azure App Service with the flexibility and scalability of Kubernetes.</w:t>
      </w:r>
    </w:p>
    <w:p>
      <w:pPr>
        <w:pStyle w:val="BodyText"/>
      </w:pPr>
      <w:r>
        <w:t xml:space="preserve">ACA is especially well-suited for modern cloud-native applications such as microservices, APIs, background workers, and event-driven workloads.</w:t>
      </w:r>
    </w:p>
    <w:p>
      <w:r>
        <w:pict>
          <v:rect style="width:0;height:1.5pt" o:hralign="center" o:hrstd="t" o:hr="t"/>
        </w:pict>
      </w:r>
    </w:p>
    <w:bookmarkEnd w:id="20"/>
    <w:bookmarkStart w:id="21" w:name="when-to-use-azure-container-apps"/>
    <w:p>
      <w:pPr>
        <w:pStyle w:val="Heading2"/>
      </w:pPr>
      <w:r>
        <w:t xml:space="preserve">2. When to Use Azure Container Apps</w:t>
      </w:r>
    </w:p>
    <w:p>
      <w:pPr>
        <w:pStyle w:val="FirstParagraph"/>
      </w:pPr>
      <w:r>
        <w:t xml:space="preserve">Azure Container Apps is a strong choice when you need:</w:t>
      </w:r>
      <w:r>
        <w:t xml:space="preserve"> </w:t>
      </w:r>
      <w:r>
        <w:t xml:space="preserve">- Microservices-based architectures</w:t>
      </w:r>
      <w:r>
        <w:t xml:space="preserve"> </w:t>
      </w:r>
      <w:r>
        <w:t xml:space="preserve">- HTTP APIs and backend services</w:t>
      </w:r>
      <w:r>
        <w:t xml:space="preserve"> </w:t>
      </w:r>
      <w:r>
        <w:t xml:space="preserve">- Event-driven or message-based processing</w:t>
      </w:r>
      <w:r>
        <w:t xml:space="preserve"> </w:t>
      </w:r>
      <w:r>
        <w:t xml:space="preserve">- Automatic scaling, including scale-to-zero</w:t>
      </w:r>
      <w:r>
        <w:t xml:space="preserve"> </w:t>
      </w:r>
      <w:r>
        <w:t xml:space="preserve">- Secure integration with Azure services using Managed Identity</w:t>
      </w:r>
    </w:p>
    <w:p>
      <w:pPr>
        <w:pStyle w:val="BodyText"/>
      </w:pPr>
      <w:r>
        <w:t xml:space="preserve">Not recommended when:</w:t>
      </w:r>
      <w:r>
        <w:t xml:space="preserve"> </w:t>
      </w:r>
      <w:r>
        <w:t xml:space="preserve">- You require full Kubernetes control (use AKS instead)</w:t>
      </w:r>
      <w:r>
        <w:t xml:space="preserve"> </w:t>
      </w:r>
      <w:r>
        <w:t xml:space="preserve">- You are hosting stateful workloads like databases</w:t>
      </w:r>
      <w:r>
        <w:t xml:space="preserve"> </w:t>
      </w:r>
      <w:r>
        <w:t xml:space="preserve">- You depend on Windows-only or IIS-specific features</w:t>
      </w:r>
    </w:p>
    <w:p>
      <w:r>
        <w:pict>
          <v:rect style="width:0;height:1.5pt" o:hralign="center" o:hrstd="t" o:hr="t"/>
        </w:pict>
      </w:r>
    </w:p>
    <w:bookmarkEnd w:id="21"/>
    <w:bookmarkStart w:id="22" w:name="core-architecture"/>
    <w:p>
      <w:pPr>
        <w:pStyle w:val="Heading2"/>
      </w:pPr>
      <w:r>
        <w:t xml:space="preserve">3. Core Architecture</w:t>
      </w:r>
    </w:p>
    <w:p>
      <w:pPr>
        <w:pStyle w:val="FirstParagraph"/>
      </w:pPr>
      <w:r>
        <w:t xml:space="preserve">An Azure Container Apps solution typically consists of:</w:t>
      </w:r>
    </w:p>
    <w:p>
      <w:pPr>
        <w:pStyle w:val="Compact"/>
        <w:numPr>
          <w:ilvl w:val="0"/>
          <w:numId w:val="1001"/>
        </w:numPr>
      </w:pPr>
      <w:r>
        <w:t xml:space="preserve">Resource Group</w:t>
      </w:r>
    </w:p>
    <w:p>
      <w:pPr>
        <w:pStyle w:val="Compact"/>
        <w:numPr>
          <w:ilvl w:val="0"/>
          <w:numId w:val="1001"/>
        </w:numPr>
      </w:pPr>
      <w:r>
        <w:t xml:space="preserve">Container Apps Environment (CAE)</w:t>
      </w:r>
    </w:p>
    <w:p>
      <w:pPr>
        <w:pStyle w:val="Compact"/>
        <w:numPr>
          <w:ilvl w:val="0"/>
          <w:numId w:val="1001"/>
        </w:numPr>
      </w:pPr>
      <w:r>
        <w:t xml:space="preserve">One or more Container Apps</w:t>
      </w:r>
    </w:p>
    <w:p>
      <w:pPr>
        <w:pStyle w:val="Compact"/>
        <w:numPr>
          <w:ilvl w:val="0"/>
          <w:numId w:val="1001"/>
        </w:numPr>
      </w:pPr>
      <w:r>
        <w:t xml:space="preserve">Log Analytics Workspace</w:t>
      </w:r>
    </w:p>
    <w:p>
      <w:pPr>
        <w:pStyle w:val="FirstParagraph"/>
      </w:pPr>
      <w:r>
        <w:t xml:space="preserve">All container apps must run inside a Container Apps Environment, which provides shared networking, logging, and scaling infrastructure.</w:t>
      </w:r>
    </w:p>
    <w:p>
      <w:r>
        <w:pict>
          <v:rect style="width:0;height:1.5pt" o:hralign="center" o:hrstd="t" o:hr="t"/>
        </w:pict>
      </w:r>
    </w:p>
    <w:bookmarkEnd w:id="22"/>
    <w:bookmarkStart w:id="27" w:name="container-apps-environment-cae"/>
    <w:p>
      <w:pPr>
        <w:pStyle w:val="Heading2"/>
      </w:pPr>
      <w:r>
        <w:t xml:space="preserve">4. Container Apps Environment (CAE)</w:t>
      </w:r>
    </w:p>
    <w:p>
      <w:pPr>
        <w:pStyle w:val="FirstParagraph"/>
      </w:pPr>
      <w:r>
        <w:t xml:space="preserve">The Container Apps Environment is the logical boundary that defines how container apps run and communicate.</w:t>
      </w:r>
    </w:p>
    <w:bookmarkStart w:id="23" w:name="key-responsibilities"/>
    <w:p>
      <w:pPr>
        <w:pStyle w:val="Heading3"/>
      </w:pPr>
      <w:r>
        <w:t xml:space="preserve">Key Responsibilities</w:t>
      </w:r>
    </w:p>
    <w:p>
      <w:pPr>
        <w:pStyle w:val="Compact"/>
        <w:numPr>
          <w:ilvl w:val="0"/>
          <w:numId w:val="1002"/>
        </w:numPr>
      </w:pPr>
      <w:r>
        <w:t xml:space="preserve">Networking and ingress</w:t>
      </w:r>
    </w:p>
    <w:p>
      <w:pPr>
        <w:pStyle w:val="Compact"/>
        <w:numPr>
          <w:ilvl w:val="0"/>
          <w:numId w:val="1002"/>
        </w:numPr>
      </w:pPr>
      <w:r>
        <w:t xml:space="preserve">Scaling infrastructure</w:t>
      </w:r>
    </w:p>
    <w:p>
      <w:pPr>
        <w:pStyle w:val="Compact"/>
        <w:numPr>
          <w:ilvl w:val="0"/>
          <w:numId w:val="1002"/>
        </w:numPr>
      </w:pPr>
      <w:r>
        <w:t xml:space="preserve">Logging and diagnostics</w:t>
      </w:r>
    </w:p>
    <w:p>
      <w:pPr>
        <w:pStyle w:val="Compact"/>
        <w:numPr>
          <w:ilvl w:val="0"/>
          <w:numId w:val="1002"/>
        </w:numPr>
      </w:pPr>
      <w:r>
        <w:t xml:space="preserve">Certificate and domain management</w:t>
      </w:r>
    </w:p>
    <w:bookmarkEnd w:id="23"/>
    <w:bookmarkStart w:id="26" w:name="environment-types"/>
    <w:p>
      <w:pPr>
        <w:pStyle w:val="Heading3"/>
      </w:pPr>
      <w:r>
        <w:t xml:space="preserve">Environment Types</w:t>
      </w:r>
    </w:p>
    <w:bookmarkStart w:id="24" w:name="consumption-environment"/>
    <w:p>
      <w:pPr>
        <w:pStyle w:val="Heading4"/>
      </w:pPr>
      <w:r>
        <w:t xml:space="preserve">Consumption Environment</w:t>
      </w:r>
    </w:p>
    <w:p>
      <w:pPr>
        <w:pStyle w:val="Compact"/>
        <w:numPr>
          <w:ilvl w:val="0"/>
          <w:numId w:val="1003"/>
        </w:numPr>
      </w:pPr>
      <w:r>
        <w:t xml:space="preserve">Default option</w:t>
      </w:r>
    </w:p>
    <w:p>
      <w:pPr>
        <w:pStyle w:val="Compact"/>
        <w:numPr>
          <w:ilvl w:val="0"/>
          <w:numId w:val="1003"/>
        </w:numPr>
      </w:pPr>
      <w:r>
        <w:t xml:space="preserve">Pay-per-use pricing</w:t>
      </w:r>
    </w:p>
    <w:p>
      <w:pPr>
        <w:pStyle w:val="Compact"/>
        <w:numPr>
          <w:ilvl w:val="0"/>
          <w:numId w:val="1003"/>
        </w:numPr>
      </w:pPr>
      <w:r>
        <w:t xml:space="preserve">Scale from zero to many instances</w:t>
      </w:r>
    </w:p>
    <w:p>
      <w:pPr>
        <w:pStyle w:val="Compact"/>
        <w:numPr>
          <w:ilvl w:val="0"/>
          <w:numId w:val="1003"/>
        </w:numPr>
      </w:pPr>
      <w:r>
        <w:t xml:space="preserve">Best for APIs and event-driven workloads</w:t>
      </w:r>
    </w:p>
    <w:bookmarkEnd w:id="24"/>
    <w:bookmarkStart w:id="25" w:name="workload-profiles-environment"/>
    <w:p>
      <w:pPr>
        <w:pStyle w:val="Heading4"/>
      </w:pPr>
      <w:r>
        <w:t xml:space="preserve">Workload Profiles Environment</w:t>
      </w:r>
    </w:p>
    <w:p>
      <w:pPr>
        <w:pStyle w:val="Compact"/>
        <w:numPr>
          <w:ilvl w:val="0"/>
          <w:numId w:val="1004"/>
        </w:numPr>
      </w:pPr>
      <w:r>
        <w:t xml:space="preserve">Dedicated compute resources</w:t>
      </w:r>
    </w:p>
    <w:p>
      <w:pPr>
        <w:pStyle w:val="Compact"/>
        <w:numPr>
          <w:ilvl w:val="0"/>
          <w:numId w:val="1004"/>
        </w:numPr>
      </w:pPr>
      <w:r>
        <w:t xml:space="preserve">Predictable performance and cost</w:t>
      </w:r>
    </w:p>
    <w:p>
      <w:pPr>
        <w:pStyle w:val="Compact"/>
        <w:numPr>
          <w:ilvl w:val="0"/>
          <w:numId w:val="1004"/>
        </w:numPr>
      </w:pPr>
      <w:r>
        <w:t xml:space="preserve">Suitable for high-throughput or always-on workloads</w:t>
      </w:r>
    </w:p>
    <w:p>
      <w:r>
        <w:pict>
          <v:rect style="width:0;height:1.5pt" o:hralign="center" o:hrstd="t" o:hr="t"/>
        </w:pict>
      </w:r>
    </w:p>
    <w:bookmarkEnd w:id="25"/>
    <w:bookmarkEnd w:id="26"/>
    <w:bookmarkEnd w:id="27"/>
    <w:bookmarkStart w:id="30" w:name="compute-and-pricing-model"/>
    <w:p>
      <w:pPr>
        <w:pStyle w:val="Heading2"/>
      </w:pPr>
      <w:r>
        <w:t xml:space="preserve">5. Compute and Pricing Model</w:t>
      </w:r>
    </w:p>
    <w:bookmarkStart w:id="28" w:name="consumption-plan"/>
    <w:p>
      <w:pPr>
        <w:pStyle w:val="Heading3"/>
      </w:pPr>
      <w:r>
        <w:t xml:space="preserve">Consumption Plan</w:t>
      </w:r>
    </w:p>
    <w:p>
      <w:pPr>
        <w:pStyle w:val="Compact"/>
        <w:numPr>
          <w:ilvl w:val="0"/>
          <w:numId w:val="1005"/>
        </w:numPr>
      </w:pPr>
      <w:r>
        <w:t xml:space="preserve">No fixed infrastructure cost</w:t>
      </w:r>
    </w:p>
    <w:p>
      <w:pPr>
        <w:pStyle w:val="Compact"/>
        <w:numPr>
          <w:ilvl w:val="0"/>
          <w:numId w:val="1005"/>
        </w:numPr>
      </w:pPr>
      <w:r>
        <w:t xml:space="preserve">Charged per vCPU-second and memory-second</w:t>
      </w:r>
    </w:p>
    <w:p>
      <w:pPr>
        <w:pStyle w:val="Compact"/>
        <w:numPr>
          <w:ilvl w:val="0"/>
          <w:numId w:val="1005"/>
        </w:numPr>
      </w:pPr>
      <w:r>
        <w:t xml:space="preserve">Supports automatic scale-to-zero</w:t>
      </w:r>
    </w:p>
    <w:bookmarkEnd w:id="28"/>
    <w:bookmarkStart w:id="29" w:name="workload-profiles"/>
    <w:p>
      <w:pPr>
        <w:pStyle w:val="Heading3"/>
      </w:pPr>
      <w:r>
        <w:t xml:space="preserve">Workload Profiles</w:t>
      </w:r>
    </w:p>
    <w:p>
      <w:pPr>
        <w:pStyle w:val="Compact"/>
        <w:numPr>
          <w:ilvl w:val="0"/>
          <w:numId w:val="1006"/>
        </w:numPr>
      </w:pPr>
      <w:r>
        <w:t xml:space="preserve">Pre-allocated compute capacity</w:t>
      </w:r>
    </w:p>
    <w:p>
      <w:pPr>
        <w:pStyle w:val="Compact"/>
        <w:numPr>
          <w:ilvl w:val="0"/>
          <w:numId w:val="1006"/>
        </w:numPr>
      </w:pPr>
      <w:r>
        <w:t xml:space="preserve">Better for sustained or heavy traffic</w:t>
      </w:r>
    </w:p>
    <w:p>
      <w:pPr>
        <w:pStyle w:val="Compact"/>
        <w:numPr>
          <w:ilvl w:val="0"/>
          <w:numId w:val="1006"/>
        </w:numPr>
      </w:pPr>
      <w:r>
        <w:t xml:space="preserve">Similar concept to App Service Plans</w:t>
      </w:r>
    </w:p>
    <w:p>
      <w:r>
        <w:pict>
          <v:rect style="width:0;height:1.5pt" o:hralign="center" o:hrstd="t" o:hr="t"/>
        </w:pict>
      </w:r>
    </w:p>
    <w:bookmarkEnd w:id="29"/>
    <w:bookmarkEnd w:id="30"/>
    <w:bookmarkStart w:id="33" w:name="container-app-configuration"/>
    <w:p>
      <w:pPr>
        <w:pStyle w:val="Heading2"/>
      </w:pPr>
      <w:r>
        <w:t xml:space="preserve">6. Container App Configuration</w:t>
      </w:r>
    </w:p>
    <w:p>
      <w:pPr>
        <w:pStyle w:val="FirstParagraph"/>
      </w:pPr>
      <w:r>
        <w:t xml:space="preserve">Each Container App is configured using the following main components:</w:t>
      </w:r>
    </w:p>
    <w:bookmarkStart w:id="31" w:name="container-settings"/>
    <w:p>
      <w:pPr>
        <w:pStyle w:val="Heading3"/>
      </w:pPr>
      <w:r>
        <w:t xml:space="preserve">6.1 Container Settings</w:t>
      </w:r>
    </w:p>
    <w:p>
      <w:pPr>
        <w:pStyle w:val="Compact"/>
        <w:numPr>
          <w:ilvl w:val="0"/>
          <w:numId w:val="1007"/>
        </w:numPr>
      </w:pPr>
      <w:r>
        <w:t xml:space="preserve">Container image (ACR, Docker Hub, or private registry)</w:t>
      </w:r>
    </w:p>
    <w:p>
      <w:pPr>
        <w:pStyle w:val="Compact"/>
        <w:numPr>
          <w:ilvl w:val="0"/>
          <w:numId w:val="1007"/>
        </w:numPr>
      </w:pPr>
      <w:r>
        <w:t xml:space="preserve">CPU and memory allocation</w:t>
      </w:r>
    </w:p>
    <w:p>
      <w:pPr>
        <w:pStyle w:val="Compact"/>
        <w:numPr>
          <w:ilvl w:val="0"/>
          <w:numId w:val="1007"/>
        </w:numPr>
      </w:pPr>
      <w:r>
        <w:t xml:space="preserve">Startup command and arguments</w:t>
      </w:r>
    </w:p>
    <w:p>
      <w:pPr>
        <w:pStyle w:val="Compact"/>
        <w:numPr>
          <w:ilvl w:val="0"/>
          <w:numId w:val="1007"/>
        </w:numPr>
      </w:pPr>
      <w:r>
        <w:t xml:space="preserve">Application port</w:t>
      </w:r>
    </w:p>
    <w:bookmarkEnd w:id="31"/>
    <w:bookmarkStart w:id="32" w:name="scaling-configuration"/>
    <w:p>
      <w:pPr>
        <w:pStyle w:val="Heading3"/>
      </w:pPr>
      <w:r>
        <w:t xml:space="preserve">6.2 Scaling Configuration</w:t>
      </w:r>
    </w:p>
    <w:p>
      <w:pPr>
        <w:pStyle w:val="FirstParagraph"/>
      </w:pPr>
      <w:r>
        <w:t xml:space="preserve">Azure Container Apps uses KEDA (Kubernetes Event-Driven Autoscaling).</w:t>
      </w:r>
    </w:p>
    <w:p>
      <w:pPr>
        <w:pStyle w:val="BodyText"/>
      </w:pPr>
      <w:r>
        <w:t xml:space="preserve">Supported scaling triggers include:</w:t>
      </w:r>
      <w:r>
        <w:t xml:space="preserve"> </w:t>
      </w:r>
      <w:r>
        <w:t xml:space="preserve">- HTTP requests</w:t>
      </w:r>
      <w:r>
        <w:t xml:space="preserve"> </w:t>
      </w:r>
      <w:r>
        <w:t xml:space="preserve">- Azure Service Bus queues and topics</w:t>
      </w:r>
      <w:r>
        <w:t xml:space="preserve"> </w:t>
      </w:r>
      <w:r>
        <w:t xml:space="preserve">- Azure Storage queues</w:t>
      </w:r>
      <w:r>
        <w:t xml:space="preserve"> </w:t>
      </w:r>
      <w:r>
        <w:t xml:space="preserve">- Event Grid</w:t>
      </w:r>
      <w:r>
        <w:t xml:space="preserve"> </w:t>
      </w:r>
      <w:r>
        <w:t xml:space="preserve">- Cron schedules</w:t>
      </w:r>
      <w:r>
        <w:t xml:space="preserve"> </w:t>
      </w:r>
      <w:r>
        <w:t xml:space="preserve">- Custom Prometheus metrics</w:t>
      </w:r>
    </w:p>
    <w:p>
      <w:pPr>
        <w:pStyle w:val="BodyText"/>
      </w:pPr>
      <w:r>
        <w:t xml:space="preserve">Scaling settings include:</w:t>
      </w:r>
      <w:r>
        <w:t xml:space="preserve"> </w:t>
      </w:r>
      <w:r>
        <w:t xml:space="preserve">- Minimum replicas</w:t>
      </w:r>
      <w:r>
        <w:t xml:space="preserve"> </w:t>
      </w:r>
      <w:r>
        <w:t xml:space="preserve">- Maximum replicas</w:t>
      </w:r>
    </w:p>
    <w:p>
      <w:r>
        <w:pict>
          <v:rect style="width:0;height:1.5pt" o:hralign="center" o:hrstd="t" o:hr="t"/>
        </w:pict>
      </w:r>
    </w:p>
    <w:bookmarkEnd w:id="32"/>
    <w:bookmarkEnd w:id="33"/>
    <w:bookmarkStart w:id="35" w:name="networking-and-ingress"/>
    <w:p>
      <w:pPr>
        <w:pStyle w:val="Heading2"/>
      </w:pPr>
      <w:r>
        <w:t xml:space="preserve">7. Networking and Ingress</w:t>
      </w:r>
    </w:p>
    <w:p>
      <w:pPr>
        <w:pStyle w:val="FirstParagraph"/>
      </w:pPr>
      <w:r>
        <w:t xml:space="preserve">Ingress controls how traffic reaches your container app.</w:t>
      </w:r>
    </w:p>
    <w:bookmarkStart w:id="34" w:name="ingress-options"/>
    <w:p>
      <w:pPr>
        <w:pStyle w:val="Heading3"/>
      </w:pPr>
      <w:r>
        <w:t xml:space="preserve">Ingress Options</w:t>
      </w:r>
    </w:p>
    <w:p>
      <w:pPr>
        <w:pStyle w:val="Compact"/>
        <w:numPr>
          <w:ilvl w:val="0"/>
          <w:numId w:val="1008"/>
        </w:numPr>
      </w:pPr>
      <w:r>
        <w:t xml:space="preserve">External ingress (public endpoint)</w:t>
      </w:r>
    </w:p>
    <w:p>
      <w:pPr>
        <w:pStyle w:val="Compact"/>
        <w:numPr>
          <w:ilvl w:val="0"/>
          <w:numId w:val="1008"/>
        </w:numPr>
      </w:pPr>
      <w:r>
        <w:t xml:space="preserve">Internal ingress (VNET-only access)</w:t>
      </w:r>
    </w:p>
    <w:p>
      <w:pPr>
        <w:pStyle w:val="Compact"/>
        <w:numPr>
          <w:ilvl w:val="0"/>
          <w:numId w:val="1008"/>
        </w:numPr>
      </w:pPr>
      <w:r>
        <w:t xml:space="preserve">HTTP or TCP transport</w:t>
      </w:r>
    </w:p>
    <w:p>
      <w:pPr>
        <w:pStyle w:val="Compact"/>
        <w:numPr>
          <w:ilvl w:val="0"/>
          <w:numId w:val="1008"/>
        </w:numPr>
      </w:pPr>
      <w:r>
        <w:t xml:space="preserve">Automatic HTTPS and TLS certificates</w:t>
      </w:r>
    </w:p>
    <w:p>
      <w:pPr>
        <w:pStyle w:val="FirstParagraph"/>
      </w:pPr>
      <w:r>
        <w:t xml:space="preserve">This makes ACA suitable for both public APIs and private internal services.</w:t>
      </w:r>
    </w:p>
    <w:p>
      <w:r>
        <w:pict>
          <v:rect style="width:0;height:1.5pt" o:hralign="center" o:hrstd="t" o:hr="t"/>
        </w:pict>
      </w:r>
    </w:p>
    <w:bookmarkEnd w:id="34"/>
    <w:bookmarkEnd w:id="35"/>
    <w:bookmarkStart w:id="39" w:name="X18d8cbe2ec6eabb4ec9e5195f4a59381fa3f07d"/>
    <w:p>
      <w:pPr>
        <w:pStyle w:val="Heading2"/>
      </w:pPr>
      <w:r>
        <w:t xml:space="preserve">8. Configuration, Secrets, and Environment Variables</w:t>
      </w:r>
    </w:p>
    <w:bookmarkStart w:id="36" w:name="environment-variables"/>
    <w:p>
      <w:pPr>
        <w:pStyle w:val="Heading3"/>
      </w:pPr>
      <w:r>
        <w:t xml:space="preserve">Environment Variables</w:t>
      </w:r>
    </w:p>
    <w:p>
      <w:pPr>
        <w:pStyle w:val="FirstParagraph"/>
      </w:pPr>
      <w:r>
        <w:t xml:space="preserve">Used for application configuration such as connection strings, feature flags, and runtime settings.</w:t>
      </w:r>
    </w:p>
    <w:bookmarkEnd w:id="36"/>
    <w:bookmarkStart w:id="37" w:name="secrets-management"/>
    <w:p>
      <w:pPr>
        <w:pStyle w:val="Heading3"/>
      </w:pPr>
      <w:r>
        <w:t xml:space="preserve">Secrets Management</w:t>
      </w:r>
    </w:p>
    <w:p>
      <w:pPr>
        <w:pStyle w:val="FirstParagraph"/>
      </w:pPr>
      <w:r>
        <w:t xml:space="preserve">Secrets can be stored and referenced using:</w:t>
      </w:r>
      <w:r>
        <w:t xml:space="preserve"> </w:t>
      </w:r>
      <w:r>
        <w:t xml:space="preserve">- Container App secrets</w:t>
      </w:r>
      <w:r>
        <w:t xml:space="preserve"> </w:t>
      </w:r>
      <w:r>
        <w:t xml:space="preserve">- Azure Key Vault (recommended for production)</w:t>
      </w:r>
    </w:p>
    <w:bookmarkEnd w:id="37"/>
    <w:bookmarkStart w:id="38" w:name="best-practice"/>
    <w:p>
      <w:pPr>
        <w:pStyle w:val="Heading3"/>
      </w:pPr>
      <w:r>
        <w:t xml:space="preserve">Best Practice</w:t>
      </w:r>
    </w:p>
    <w:p>
      <w:pPr>
        <w:pStyle w:val="FirstParagraph"/>
      </w:pPr>
      <w:r>
        <w:t xml:space="preserve">Use Managed Identity with Key Vault instead of hardcoding secrets.</w:t>
      </w:r>
    </w:p>
    <w:p>
      <w:r>
        <w:pict>
          <v:rect style="width:0;height:1.5pt" o:hralign="center" o:hrstd="t" o:hr="t"/>
        </w:pict>
      </w:r>
    </w:p>
    <w:bookmarkEnd w:id="38"/>
    <w:bookmarkEnd w:id="39"/>
    <w:bookmarkStart w:id="40" w:name="identity-and-security"/>
    <w:p>
      <w:pPr>
        <w:pStyle w:val="Heading2"/>
      </w:pPr>
      <w:r>
        <w:t xml:space="preserve">9. Identity and Security</w:t>
      </w:r>
    </w:p>
    <w:p>
      <w:pPr>
        <w:pStyle w:val="FirstParagraph"/>
      </w:pPr>
      <w:r>
        <w:t xml:space="preserve">Azure Container Apps supports:</w:t>
      </w:r>
      <w:r>
        <w:t xml:space="preserve"> </w:t>
      </w:r>
      <w:r>
        <w:t xml:space="preserve">- System-assigned Managed Identity</w:t>
      </w:r>
      <w:r>
        <w:t xml:space="preserve"> </w:t>
      </w:r>
      <w:r>
        <w:t xml:space="preserve">- User-assigned Managed Identity</w:t>
      </w:r>
    </w:p>
    <w:p>
      <w:pPr>
        <w:pStyle w:val="BodyText"/>
      </w:pPr>
      <w:r>
        <w:t xml:space="preserve">Managed Identity enables secure access to:</w:t>
      </w:r>
      <w:r>
        <w:t xml:space="preserve"> </w:t>
      </w:r>
      <w:r>
        <w:t xml:space="preserve">- Azure Key Vault</w:t>
      </w:r>
      <w:r>
        <w:t xml:space="preserve"> </w:t>
      </w:r>
      <w:r>
        <w:t xml:space="preserve">- Azure Service Bus</w:t>
      </w:r>
      <w:r>
        <w:t xml:space="preserve"> </w:t>
      </w:r>
      <w:r>
        <w:t xml:space="preserve">- Azure Storage</w:t>
      </w:r>
      <w:r>
        <w:t xml:space="preserve"> </w:t>
      </w:r>
      <w:r>
        <w:t xml:space="preserve">- Azure SQL</w:t>
      </w:r>
    </w:p>
    <w:p>
      <w:pPr>
        <w:pStyle w:val="BodyText"/>
      </w:pPr>
      <w:r>
        <w:t xml:space="preserve">No secrets are required in application code when using Azure SDK authentication.</w:t>
      </w:r>
    </w:p>
    <w:p>
      <w:r>
        <w:pict>
          <v:rect style="width:0;height:1.5pt" o:hralign="center" o:hrstd="t" o:hr="t"/>
        </w:pict>
      </w:r>
    </w:p>
    <w:bookmarkEnd w:id="40"/>
    <w:bookmarkStart w:id="41" w:name="observability-and-monitoring"/>
    <w:p>
      <w:pPr>
        <w:pStyle w:val="Heading2"/>
      </w:pPr>
      <w:r>
        <w:t xml:space="preserve">10. Observability and Monitoring</w:t>
      </w:r>
    </w:p>
    <w:p>
      <w:pPr>
        <w:pStyle w:val="FirstParagraph"/>
      </w:pPr>
      <w:r>
        <w:t xml:space="preserve">Azure Container Apps integrates with:</w:t>
      </w:r>
      <w:r>
        <w:t xml:space="preserve"> </w:t>
      </w:r>
      <w:r>
        <w:t xml:space="preserve">- Azure Monitor</w:t>
      </w:r>
      <w:r>
        <w:t xml:space="preserve"> </w:t>
      </w:r>
      <w:r>
        <w:t xml:space="preserve">- Log Analytics</w:t>
      </w:r>
      <w:r>
        <w:t xml:space="preserve"> </w:t>
      </w:r>
      <w:r>
        <w:t xml:space="preserve">- Application Insights</w:t>
      </w:r>
    </w:p>
    <w:p>
      <w:pPr>
        <w:pStyle w:val="BodyText"/>
      </w:pPr>
      <w:r>
        <w:t xml:space="preserve">You can monitor:</w:t>
      </w:r>
      <w:r>
        <w:t xml:space="preserve"> </w:t>
      </w:r>
      <w:r>
        <w:t xml:space="preserve">- Application logs</w:t>
      </w:r>
      <w:r>
        <w:t xml:space="preserve"> </w:t>
      </w:r>
      <w:r>
        <w:t xml:space="preserve">- Request metrics</w:t>
      </w:r>
      <w:r>
        <w:t xml:space="preserve"> </w:t>
      </w:r>
      <w:r>
        <w:t xml:space="preserve">- Scaling events</w:t>
      </w:r>
      <w:r>
        <w:t xml:space="preserve"> </w:t>
      </w:r>
      <w:r>
        <w:t xml:space="preserve">- CPU and memory usage</w:t>
      </w:r>
      <w:r>
        <w:t xml:space="preserve"> </w:t>
      </w:r>
      <w:r>
        <w:t xml:space="preserve">- Failures and exceptions</w:t>
      </w:r>
    </w:p>
    <w:p>
      <w:r>
        <w:pict>
          <v:rect style="width:0;height:1.5pt" o:hralign="center" o:hrstd="t" o:hr="t"/>
        </w:pict>
      </w:r>
    </w:p>
    <w:bookmarkEnd w:id="41"/>
    <w:bookmarkStart w:id="42" w:name="deployment-and-cicd-options"/>
    <w:p>
      <w:pPr>
        <w:pStyle w:val="Heading2"/>
      </w:pPr>
      <w:r>
        <w:t xml:space="preserve">11. Deployment and CI/CD Options</w:t>
      </w:r>
    </w:p>
    <w:p>
      <w:pPr>
        <w:pStyle w:val="FirstParagraph"/>
      </w:pPr>
      <w:r>
        <w:t xml:space="preserve">Azure Container Apps can be deployed using:</w:t>
      </w:r>
      <w:r>
        <w:t xml:space="preserve"> </w:t>
      </w:r>
      <w:r>
        <w:t xml:space="preserve">- Azure Portal</w:t>
      </w:r>
      <w:r>
        <w:t xml:space="preserve"> </w:t>
      </w:r>
      <w:r>
        <w:t xml:space="preserve">- Azure CLI</w:t>
      </w:r>
      <w:r>
        <w:t xml:space="preserve"> </w:t>
      </w:r>
      <w:r>
        <w:t xml:space="preserve">- Bicep (Infrastructure as Code)</w:t>
      </w:r>
      <w:r>
        <w:t xml:space="preserve"> </w:t>
      </w:r>
      <w:r>
        <w:t xml:space="preserve">- GitHub Actions</w:t>
      </w:r>
      <w:r>
        <w:t xml:space="preserve"> </w:t>
      </w:r>
      <w:r>
        <w:t xml:space="preserve">- Azure DevOps Pipelines</w:t>
      </w:r>
    </w:p>
    <w:p>
      <w:pPr>
        <w:pStyle w:val="BodyText"/>
      </w:pPr>
      <w:r>
        <w:t xml:space="preserve">Typical deployment flow:</w:t>
      </w:r>
      <w:r>
        <w:t xml:space="preserve"> </w:t>
      </w:r>
      <w:r>
        <w:t xml:space="preserve">1. Build Docker image</w:t>
      </w:r>
      <w:r>
        <w:t xml:space="preserve"> </w:t>
      </w:r>
      <w:r>
        <w:t xml:space="preserve">2. Push image to Azure Container Registry (ACR)</w:t>
      </w:r>
      <w:r>
        <w:t xml:space="preserve"> </w:t>
      </w:r>
      <w:r>
        <w:t xml:space="preserve">3. Deploy or update Container App using Bicep or CLI</w:t>
      </w:r>
    </w:p>
    <w:p>
      <w:r>
        <w:pict>
          <v:rect style="width:0;height:1.5pt" o:hralign="center" o:hrstd="t" o:hr="t"/>
        </w:pict>
      </w:r>
    </w:p>
    <w:bookmarkEnd w:id="42"/>
    <w:bookmarkStart w:id="46" w:name="comparison-with-other-azure-services"/>
    <w:p>
      <w:pPr>
        <w:pStyle w:val="Heading2"/>
      </w:pPr>
      <w:r>
        <w:t xml:space="preserve">12. Comparison with Other Azure Services</w:t>
      </w:r>
    </w:p>
    <w:bookmarkStart w:id="43" w:name="aca-vs-app-service"/>
    <w:p>
      <w:pPr>
        <w:pStyle w:val="Heading3"/>
      </w:pPr>
      <w:r>
        <w:t xml:space="preserve">ACA vs App Service</w:t>
      </w:r>
    </w:p>
    <w:p>
      <w:pPr>
        <w:pStyle w:val="Compact"/>
        <w:numPr>
          <w:ilvl w:val="0"/>
          <w:numId w:val="1009"/>
        </w:numPr>
      </w:pPr>
      <w:r>
        <w:t xml:space="preserve">ACA supports scale-to-zero and event-driven scaling</w:t>
      </w:r>
    </w:p>
    <w:p>
      <w:pPr>
        <w:pStyle w:val="Compact"/>
        <w:numPr>
          <w:ilvl w:val="0"/>
          <w:numId w:val="1009"/>
        </w:numPr>
      </w:pPr>
      <w:r>
        <w:t xml:space="preserve">App Service is better for traditional web apps</w:t>
      </w:r>
    </w:p>
    <w:bookmarkEnd w:id="43"/>
    <w:bookmarkStart w:id="44" w:name="aca-vs-azure-container-instances-aci"/>
    <w:p>
      <w:pPr>
        <w:pStyle w:val="Heading3"/>
      </w:pPr>
      <w:r>
        <w:t xml:space="preserve">ACA vs Azure Container Instances (ACI)</w:t>
      </w:r>
    </w:p>
    <w:p>
      <w:pPr>
        <w:pStyle w:val="Compact"/>
        <w:numPr>
          <w:ilvl w:val="0"/>
          <w:numId w:val="1010"/>
        </w:numPr>
      </w:pPr>
      <w:r>
        <w:t xml:space="preserve">ACA supports autoscaling and ingress</w:t>
      </w:r>
    </w:p>
    <w:p>
      <w:pPr>
        <w:pStyle w:val="Compact"/>
        <w:numPr>
          <w:ilvl w:val="0"/>
          <w:numId w:val="1010"/>
        </w:numPr>
      </w:pPr>
      <w:r>
        <w:t xml:space="preserve">ACI is designed for short-lived, single containers</w:t>
      </w:r>
    </w:p>
    <w:bookmarkEnd w:id="44"/>
    <w:bookmarkStart w:id="45" w:name="aca-vs-aks"/>
    <w:p>
      <w:pPr>
        <w:pStyle w:val="Heading3"/>
      </w:pPr>
      <w:r>
        <w:t xml:space="preserve">ACA vs AKS</w:t>
      </w:r>
    </w:p>
    <w:p>
      <w:pPr>
        <w:pStyle w:val="Compact"/>
        <w:numPr>
          <w:ilvl w:val="0"/>
          <w:numId w:val="1011"/>
        </w:numPr>
      </w:pPr>
      <w:r>
        <w:t xml:space="preserve">ACA requires no Kubernetes management</w:t>
      </w:r>
    </w:p>
    <w:p>
      <w:pPr>
        <w:pStyle w:val="Compact"/>
        <w:numPr>
          <w:ilvl w:val="0"/>
          <w:numId w:val="1011"/>
        </w:numPr>
      </w:pPr>
      <w:r>
        <w:t xml:space="preserve">AKS provides full cluster control and flexibility</w:t>
      </w:r>
    </w:p>
    <w:p>
      <w:r>
        <w:pict>
          <v:rect style="width:0;height:1.5pt" o:hralign="center" o:hrstd="t" o:hr="t"/>
        </w:pict>
      </w:r>
    </w:p>
    <w:bookmarkEnd w:id="45"/>
    <w:bookmarkEnd w:id="46"/>
    <w:bookmarkStart w:id="47" w:name="real-world-architecture-example"/>
    <w:p>
      <w:pPr>
        <w:pStyle w:val="Heading2"/>
      </w:pPr>
      <w:r>
        <w:t xml:space="preserve">13. Real-World Architecture Example</w:t>
      </w:r>
    </w:p>
    <w:p>
      <w:pPr>
        <w:pStyle w:val="FirstParagraph"/>
      </w:pPr>
      <w:r>
        <w:t xml:space="preserve">A typical microservices setup using Azure Container Apps:</w:t>
      </w:r>
      <w:r>
        <w:t xml:space="preserve"> </w:t>
      </w:r>
      <w:r>
        <w:t xml:space="preserve">- Frontend application (HTTP)</w:t>
      </w:r>
      <w:r>
        <w:t xml:space="preserve"> </w:t>
      </w:r>
      <w:r>
        <w:t xml:space="preserve">- Multiple backend APIs (ACA)</w:t>
      </w:r>
      <w:r>
        <w:t xml:space="preserve"> </w:t>
      </w:r>
      <w:r>
        <w:t xml:space="preserve">- Background workers (Service Bus trigger)</w:t>
      </w:r>
      <w:r>
        <w:t xml:space="preserve"> </w:t>
      </w:r>
      <w:r>
        <w:t xml:space="preserve">- Azure API Management as API Gateway</w:t>
      </w:r>
      <w:r>
        <w:t xml:space="preserve"> </w:t>
      </w:r>
      <w:r>
        <w:t xml:space="preserve">- Azure Container Registry for images</w:t>
      </w:r>
      <w:r>
        <w:t xml:space="preserve"> </w:t>
      </w:r>
      <w:r>
        <w:t xml:space="preserve">- Azure Key Vault for secrets</w:t>
      </w:r>
      <w:r>
        <w:t xml:space="preserve"> </w:t>
      </w:r>
      <w:r>
        <w:t xml:space="preserve">- Bicep for infrastructure</w:t>
      </w:r>
      <w:r>
        <w:t xml:space="preserve"> </w:t>
      </w:r>
      <w:r>
        <w:t xml:space="preserve">- Azure DevOps for CI/CD</w:t>
      </w:r>
    </w:p>
    <w:p>
      <w:r>
        <w:pict>
          <v:rect style="width:0;height:1.5pt" o:hralign="center" o:hrstd="t" o:hr="t"/>
        </w:pict>
      </w:r>
    </w:p>
    <w:bookmarkEnd w:id="47"/>
    <w:bookmarkStart w:id="48" w:name="key-takeaways"/>
    <w:p>
      <w:pPr>
        <w:pStyle w:val="Heading2"/>
      </w:pPr>
      <w:r>
        <w:t xml:space="preserve">14. Key Takeaways</w:t>
      </w:r>
    </w:p>
    <w:p>
      <w:pPr>
        <w:pStyle w:val="Compact"/>
        <w:numPr>
          <w:ilvl w:val="0"/>
          <w:numId w:val="1012"/>
        </w:numPr>
      </w:pPr>
      <w:r>
        <w:t xml:space="preserve">Azure Container Apps is a serverless container platform</w:t>
      </w:r>
    </w:p>
    <w:p>
      <w:pPr>
        <w:pStyle w:val="Compact"/>
        <w:numPr>
          <w:ilvl w:val="0"/>
          <w:numId w:val="1012"/>
        </w:numPr>
      </w:pPr>
      <w:r>
        <w:t xml:space="preserve">Ideal for microservices and event-driven workloads</w:t>
      </w:r>
    </w:p>
    <w:p>
      <w:pPr>
        <w:pStyle w:val="Compact"/>
        <w:numPr>
          <w:ilvl w:val="0"/>
          <w:numId w:val="1012"/>
        </w:numPr>
      </w:pPr>
      <w:r>
        <w:t xml:space="preserve">Built-in autoscaling using KEDA</w:t>
      </w:r>
    </w:p>
    <w:p>
      <w:pPr>
        <w:pStyle w:val="Compact"/>
        <w:numPr>
          <w:ilvl w:val="0"/>
          <w:numId w:val="1012"/>
        </w:numPr>
      </w:pPr>
      <w:r>
        <w:t xml:space="preserve">Supports secure access via Managed Identity</w:t>
      </w:r>
    </w:p>
    <w:p>
      <w:pPr>
        <w:pStyle w:val="Compact"/>
        <w:numPr>
          <w:ilvl w:val="0"/>
          <w:numId w:val="1012"/>
        </w:numPr>
      </w:pPr>
      <w:r>
        <w:t xml:space="preserve">Requires less operational effort than AKS</w:t>
      </w:r>
    </w:p>
    <w:p>
      <w:pPr>
        <w:pStyle w:val="Compact"/>
        <w:numPr>
          <w:ilvl w:val="0"/>
          <w:numId w:val="1012"/>
        </w:numPr>
      </w:pPr>
      <w:r>
        <w:t xml:space="preserve">Strongly aligned with AZ-204 exam expectations</w:t>
      </w:r>
    </w:p>
    <w:p>
      <w:r>
        <w:pict>
          <v:rect style="width:0;height:1.5pt" o:hralign="center" o:hrstd="t" o:hr="t"/>
        </w:pict>
      </w:r>
    </w:p>
    <w:p>
      <w:pPr>
        <w:pStyle w:val="FirstParagraph"/>
      </w:pPr>
      <w:r>
        <w:t xml:space="preserve">End of Document</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2025-12-29T12:39:06Z</dcterms:created>
  <dcterms:modified xsi:type="dcterms:W3CDTF">2025-12-29T12:39:06Z</dcterms:modified>
</cp:coreProperties>
</file>

<file path=docProps/custom.xml><?xml version="1.0" encoding="utf-8"?>
<Properties xmlns="http://schemas.openxmlformats.org/officeDocument/2006/custom-properties" xmlns:vt="http://schemas.openxmlformats.org/officeDocument/2006/docPropsVTypes"/>
</file>