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AEC7" w14:textId="77777777" w:rsidR="007E700A" w:rsidRDefault="007E700A" w:rsidP="007E700A">
      <w:r>
        <w:t>3.1 System Overview</w:t>
      </w:r>
    </w:p>
    <w:p w14:paraId="74BBCD13" w14:textId="77777777" w:rsidR="007E700A" w:rsidRDefault="007E700A" w:rsidP="007E700A">
      <w:r>
        <w:t xml:space="preserve">The system we propose is a Computer-Aided Diagnostic (CAD) system that uses Deep Learning (DL) to predict lung cancer. The goal of the CAD system is to provide </w:t>
      </w:r>
      <w:proofErr w:type="spellStart"/>
      <w:r>
        <w:t>mulitple</w:t>
      </w:r>
      <w:proofErr w:type="spellEnd"/>
      <w:r>
        <w:t xml:space="preserve"> levels of interpretability and the ability to forecast </w:t>
      </w:r>
      <w:proofErr w:type="spellStart"/>
      <w:r>
        <w:t>spatio</w:t>
      </w:r>
      <w:proofErr w:type="spellEnd"/>
      <w:r>
        <w:t>-temporal risks.</w:t>
      </w:r>
    </w:p>
    <w:p w14:paraId="63B7485D" w14:textId="77777777" w:rsidR="007E700A" w:rsidRDefault="007E700A" w:rsidP="007E700A"/>
    <w:p w14:paraId="095FF85F" w14:textId="77777777" w:rsidR="007E700A" w:rsidRDefault="007E700A" w:rsidP="007E700A">
      <w:r>
        <w:t>Unlike traditional CAD systems that are typically limited to making a single binary prediction (i.e., malignant or benign) for the entire lung volume, our CAD system provides many predictions at multiple levels of analysis.</w:t>
      </w:r>
    </w:p>
    <w:p w14:paraId="41C80D28" w14:textId="77777777" w:rsidR="007E700A" w:rsidRDefault="007E700A" w:rsidP="007E700A"/>
    <w:p w14:paraId="32AD9DA9" w14:textId="77777777" w:rsidR="007E700A" w:rsidRDefault="007E700A" w:rsidP="007E700A">
      <w:r>
        <w:t xml:space="preserve">The volume of a CT scan is processed at the local level using individual slices from the CT scan's 3D representation and the analysis of the tumours' growth patterns. Ultimately, radiologists receive confidence aware diagnostic reports through a </w:t>
      </w:r>
      <w:proofErr w:type="gramStart"/>
      <w:r>
        <w:t>user friendly</w:t>
      </w:r>
      <w:proofErr w:type="gramEnd"/>
      <w:r>
        <w:t xml:space="preserve"> graphical interface.</w:t>
      </w:r>
    </w:p>
    <w:p w14:paraId="498625F9" w14:textId="77777777" w:rsidR="007E700A" w:rsidRDefault="007E700A" w:rsidP="007E700A"/>
    <w:p w14:paraId="3A6BA988" w14:textId="77777777" w:rsidR="007E700A" w:rsidRDefault="007E700A" w:rsidP="007E700A">
      <w:r>
        <w:t>There are four main modules to the proposed CAD architecture:</w:t>
      </w:r>
    </w:p>
    <w:p w14:paraId="4F53ABB5" w14:textId="77777777" w:rsidR="007E700A" w:rsidRDefault="007E700A" w:rsidP="007E700A"/>
    <w:p w14:paraId="57EF2EC5" w14:textId="77777777" w:rsidR="007E700A" w:rsidRDefault="007E700A" w:rsidP="007E700A">
      <w:r>
        <w:t>Pre-processing and slice extraction module - Raw 3D CT scans are converted into normalized 2D and 3D images that can be used as input for Model Development.</w:t>
      </w:r>
    </w:p>
    <w:p w14:paraId="0DE22A9D" w14:textId="77777777" w:rsidR="007E700A" w:rsidRDefault="007E700A" w:rsidP="007E700A">
      <w:r>
        <w:t>Module to detect and segment regions of interest (ROI) - Lung nodules will be automatically detected and segmented from 2D and 3D CT images of the lungs.</w:t>
      </w:r>
    </w:p>
    <w:p w14:paraId="388983DB" w14:textId="77777777" w:rsidR="007E700A" w:rsidRDefault="007E700A" w:rsidP="007E700A">
      <w:r>
        <w:t>Module to predict future malignancy and growth (</w:t>
      </w:r>
      <w:proofErr w:type="spellStart"/>
      <w:r>
        <w:t>spatio</w:t>
      </w:r>
      <w:proofErr w:type="spellEnd"/>
      <w:r>
        <w:t>-temporal risk and growth prediction) - A malignant risk will be predicted for each slice of the CT scan and locations of the lung that may be susceptible to future tumour growth will be predicted.</w:t>
      </w:r>
    </w:p>
    <w:p w14:paraId="01F277AA" w14:textId="0E943297" w:rsidR="006F4801" w:rsidRDefault="007E700A" w:rsidP="007E700A">
      <w:r>
        <w:t>Module to provide multi-level interpretability (via colour-coded confidence maps) and multi-level visualization (explaining the reason supporting each CAD system prediction).</w:t>
      </w:r>
    </w:p>
    <w:p w14:paraId="4DBA221C" w14:textId="77777777" w:rsidR="007E700A" w:rsidRDefault="007E700A" w:rsidP="007E700A">
      <w:r>
        <w:t>3.2 Data Collection and Preprocessing</w:t>
      </w:r>
    </w:p>
    <w:p w14:paraId="78BB76DE" w14:textId="77777777" w:rsidR="007E700A" w:rsidRDefault="007E700A" w:rsidP="007E700A">
      <w:r>
        <w:t>3.2.1 Dataset Selection</w:t>
      </w:r>
    </w:p>
    <w:p w14:paraId="4ACC15AA" w14:textId="77777777" w:rsidR="007E700A" w:rsidRDefault="007E700A" w:rsidP="007E700A">
      <w:r>
        <w:t>A snapshot of the datasets that will be used for reliable and consistent training and testing of the proposed model include the datasets below:</w:t>
      </w:r>
    </w:p>
    <w:p w14:paraId="1267EDB5" w14:textId="77777777" w:rsidR="007E700A" w:rsidRDefault="007E700A" w:rsidP="007E700A">
      <w:r>
        <w:t>•</w:t>
      </w:r>
      <w:r>
        <w:tab/>
        <w:t>LIDC-IDRI Database: This will be used to detect lung nodules and includes 1,018 cases of CT scans with annotations by expert radiologists.</w:t>
      </w:r>
    </w:p>
    <w:p w14:paraId="3816EF27" w14:textId="77777777" w:rsidR="007E700A" w:rsidRDefault="007E700A" w:rsidP="007E700A">
      <w:r>
        <w:lastRenderedPageBreak/>
        <w:t>•</w:t>
      </w:r>
      <w:r>
        <w:tab/>
        <w:t>IQ-OTH/NCCD Database: This will be used to evaluate classification accuracy at the slice level.</w:t>
      </w:r>
    </w:p>
    <w:p w14:paraId="62E1800F" w14:textId="77777777" w:rsidR="007E700A" w:rsidRDefault="007E700A" w:rsidP="007E700A">
      <w:r>
        <w:t>•</w:t>
      </w:r>
      <w:r>
        <w:tab/>
        <w:t xml:space="preserve">As applicable, a Cross </w:t>
      </w:r>
      <w:proofErr w:type="spellStart"/>
      <w:r>
        <w:t>Spatio</w:t>
      </w:r>
      <w:proofErr w:type="spellEnd"/>
      <w:r>
        <w:t>-Temporal Pathology Dataset will be used to develop the tumour growth prediction module.</w:t>
      </w:r>
    </w:p>
    <w:p w14:paraId="7FFAB7EE" w14:textId="77777777" w:rsidR="007E700A" w:rsidRDefault="007E700A" w:rsidP="007E700A">
      <w:r>
        <w:t>3.2.2 Preprocessing Steps</w:t>
      </w:r>
    </w:p>
    <w:p w14:paraId="506F28A9" w14:textId="77777777" w:rsidR="007E700A" w:rsidRDefault="007E700A" w:rsidP="007E700A">
      <w:r>
        <w:t xml:space="preserve">The following preprocessing steps will be implemented </w:t>
      </w:r>
      <w:proofErr w:type="gramStart"/>
      <w:r>
        <w:t>in order to</w:t>
      </w:r>
      <w:proofErr w:type="gramEnd"/>
      <w:r>
        <w:t xml:space="preserve"> create uniform CT datasets to be used in this study: </w:t>
      </w:r>
    </w:p>
    <w:p w14:paraId="5377B755" w14:textId="77777777" w:rsidR="007E700A" w:rsidRDefault="007E700A" w:rsidP="007E700A">
      <w:r>
        <w:t>•</w:t>
      </w:r>
      <w:r>
        <w:tab/>
        <w:t>Resampling &amp; Normalization: All volumes will have their pixel spacing adjusted so they can all be at a fixed resolution (for example: 1 × 1 × 1 mm). All Hounsfield Units (HU) will be clipped to the lung window values (-1000 HU to +400 HU). All volumes will be normalized into a range [0,1].</w:t>
      </w:r>
    </w:p>
    <w:p w14:paraId="32C10CD9" w14:textId="77777777" w:rsidR="007E700A" w:rsidRDefault="007E700A" w:rsidP="007E700A">
      <w:r>
        <w:t>•</w:t>
      </w:r>
      <w:r>
        <w:tab/>
        <w:t xml:space="preserve">Cutting Slices: The 3D volume will be cut along the axial plane into slices. Unlike most approaches, the height/width ratio will be preserved to keep small nodule morphology intact. </w:t>
      </w:r>
    </w:p>
    <w:p w14:paraId="0C332F3C" w14:textId="3316B9EC" w:rsidR="007E700A" w:rsidRDefault="007E700A" w:rsidP="007E700A">
      <w:r>
        <w:t>•</w:t>
      </w:r>
      <w:r>
        <w:tab/>
        <w:t>Augmentation: To increase generalization of the model, we will utilize common augmentation techniques (e.g. rotation, flipping). We will also do Random Pixel Swaps (RPS) to create variations of the original volumetric images while maintaining anatomical boundaries.</w:t>
      </w:r>
    </w:p>
    <w:p w14:paraId="342F7584" w14:textId="77777777" w:rsidR="007E700A" w:rsidRDefault="007E700A" w:rsidP="007E700A">
      <w:r>
        <w:t>3.3 Proposed Architecture</w:t>
      </w:r>
    </w:p>
    <w:p w14:paraId="1BBC128A" w14:textId="77777777" w:rsidR="007E700A" w:rsidRDefault="007E700A" w:rsidP="007E700A">
      <w:r>
        <w:t>3.3.1 Module 1: Nodule Segmentation (Modified U-Net)</w:t>
      </w:r>
    </w:p>
    <w:p w14:paraId="191FEA7D" w14:textId="77777777" w:rsidR="007E700A" w:rsidRDefault="007E700A" w:rsidP="007E700A">
      <w:r>
        <w:t>The initial phase pertains to the identification of the ROI. A modified U-Net architecture will be utilized for this purpose, comprising a variant utilizing either residual or attention-based layers. The use of attention gates will provide accurate detection of small, irregularly shaped nodules, while also suppressing background noise (blood vessels and ribs).</w:t>
      </w:r>
    </w:p>
    <w:p w14:paraId="78737348" w14:textId="77777777" w:rsidR="007E700A" w:rsidRDefault="007E700A" w:rsidP="007E700A">
      <w:r>
        <w:t>As output from this module, a binary mask will be produced for each individual slice, which will indicate the exact location of the nodule in relation to the background. Only segmented nodules will subsequently be forwarded to the risk prediction module, thereby eliminating irrelevant tissues from analysis.</w:t>
      </w:r>
    </w:p>
    <w:p w14:paraId="001A8201" w14:textId="77777777" w:rsidR="007E700A" w:rsidRDefault="007E700A" w:rsidP="007E700A"/>
    <w:p w14:paraId="13FA02C2" w14:textId="77777777" w:rsidR="007E700A" w:rsidRDefault="007E700A" w:rsidP="007E700A">
      <w:r>
        <w:t>3.3.2 Module 2: Slice-Level Risk Trend Analysis</w:t>
      </w:r>
    </w:p>
    <w:p w14:paraId="79488E43" w14:textId="77777777" w:rsidR="007E700A" w:rsidRDefault="007E700A" w:rsidP="007E700A">
      <w:r>
        <w:t>This is where the true novelty of this project occurs! Instead of providing one global prediction, as has been done previously, this system evaluates the degree of variability in risk across all slices of a segmented nodule, rather than providing one single global prediction.</w:t>
      </w:r>
    </w:p>
    <w:p w14:paraId="6F869AFA" w14:textId="77777777" w:rsidR="007E700A" w:rsidRDefault="007E700A" w:rsidP="007E700A">
      <w:r>
        <w:lastRenderedPageBreak/>
        <w:t>•</w:t>
      </w:r>
      <w:r>
        <w:tab/>
        <w:t>Feature Extraction:</w:t>
      </w:r>
    </w:p>
    <w:p w14:paraId="19F457CB" w14:textId="77777777" w:rsidR="007E700A" w:rsidRDefault="007E700A" w:rsidP="007E700A">
      <w:r>
        <w:t xml:space="preserve">The deep features extracted from each slice will use backbone </w:t>
      </w:r>
      <w:proofErr w:type="spellStart"/>
      <w:r>
        <w:t>CNNs</w:t>
      </w:r>
      <w:proofErr w:type="spellEnd"/>
      <w:r>
        <w:t xml:space="preserve"> such as DenseNet121 or ResNet50.</w:t>
      </w:r>
    </w:p>
    <w:p w14:paraId="4DD8BAAC" w14:textId="77777777" w:rsidR="007E700A" w:rsidRDefault="007E700A" w:rsidP="007E700A">
      <w:r>
        <w:t>•</w:t>
      </w:r>
      <w:r>
        <w:tab/>
        <w:t>Sequential Modelling:</w:t>
      </w:r>
    </w:p>
    <w:p w14:paraId="538E553F" w14:textId="0E7E2D9B" w:rsidR="007E700A" w:rsidRDefault="007E700A" w:rsidP="007E700A">
      <w:r>
        <w:t>Bi-LSTMs or Transformer Encoders will receive the extracted features to identify the sequential variation in texture and shape between each of the slices.</w:t>
      </w:r>
    </w:p>
    <w:p w14:paraId="7362A8CC" w14:textId="77777777" w:rsidR="007E700A" w:rsidRDefault="007E700A" w:rsidP="007E700A">
      <w:r>
        <w:t>•</w:t>
      </w:r>
      <w:r>
        <w:tab/>
        <w:t>OUTPUTS OF THE RISK TREND MODULE:</w:t>
      </w:r>
    </w:p>
    <w:p w14:paraId="2AF29BBD" w14:textId="77777777" w:rsidR="007E700A" w:rsidRDefault="007E700A" w:rsidP="007E700A">
      <w:r>
        <w:t>The decision support model will produce a malignancy risk score (0-1) for every slice evaluated. Additionally, risk factors contributing to the computed risk score will be identified, such as: " spiculated edges, course margins, or necrotic centres."</w:t>
      </w:r>
    </w:p>
    <w:p w14:paraId="384D5E6E" w14:textId="77777777" w:rsidR="007E700A" w:rsidRDefault="007E700A" w:rsidP="007E700A"/>
    <w:p w14:paraId="0B2C615B" w14:textId="1BB60007" w:rsidR="007E700A" w:rsidRDefault="007E700A" w:rsidP="007E700A">
      <w:r>
        <w:t xml:space="preserve">3.3.3 Module 3: PREDICTING THE NEXT LIKELY SITE OF TUMOUR GROWTH </w:t>
      </w:r>
      <w:proofErr w:type="gramStart"/>
      <w:r>
        <w:t>BY  FORECASTING</w:t>
      </w:r>
      <w:proofErr w:type="gramEnd"/>
    </w:p>
    <w:p w14:paraId="4303166D" w14:textId="269776D1" w:rsidR="007E700A" w:rsidRDefault="007E700A" w:rsidP="007E700A">
      <w:r>
        <w:t xml:space="preserve">This module considers </w:t>
      </w:r>
      <w:proofErr w:type="spellStart"/>
      <w:r>
        <w:t>spatio</w:t>
      </w:r>
      <w:proofErr w:type="spellEnd"/>
      <w:r>
        <w:t>-temporal characteristics to indicate areas where a tumour can grow.</w:t>
      </w:r>
    </w:p>
    <w:p w14:paraId="68803706" w14:textId="77777777" w:rsidR="007E700A" w:rsidRDefault="007E700A" w:rsidP="007E700A">
      <w:r>
        <w:t>•</w:t>
      </w:r>
      <w:r>
        <w:tab/>
        <w:t>MODEL DEVELOPMENT:</w:t>
      </w:r>
    </w:p>
    <w:p w14:paraId="3DC8DBD1" w14:textId="587549A7" w:rsidR="007E700A" w:rsidRDefault="007E700A" w:rsidP="007E700A">
      <w:r>
        <w:t>The model analyses the edge characteristics of the segmented lung nodule using its three-dimensional centroid and boundary gradient.</w:t>
      </w:r>
    </w:p>
    <w:p w14:paraId="5DA5B8BE" w14:textId="77777777" w:rsidR="007E700A" w:rsidRDefault="007E700A" w:rsidP="007E700A">
      <w:r>
        <w:t>•</w:t>
      </w:r>
      <w:r>
        <w:tab/>
        <w:t>GROWTH VECTOR PREDICTION:</w:t>
      </w:r>
    </w:p>
    <w:p w14:paraId="42A5B9B7" w14:textId="56FD8F74" w:rsidR="007E700A" w:rsidRDefault="007E700A" w:rsidP="007E700A">
      <w:r>
        <w:t>The output of this module will be a probabilistic heatmap showing the most likely location of the expansion of the nodule into surrounding parenchyma.</w:t>
      </w:r>
    </w:p>
    <w:p w14:paraId="6AD28BF4" w14:textId="77777777" w:rsidR="007E700A" w:rsidRDefault="007E700A" w:rsidP="007E700A">
      <w:r>
        <w:t>•</w:t>
      </w:r>
      <w:r>
        <w:tab/>
        <w:t>VISUALIZATION:</w:t>
      </w:r>
    </w:p>
    <w:p w14:paraId="2EF51CE3" w14:textId="2A4FEDC1" w:rsidR="007E700A" w:rsidRDefault="007E700A" w:rsidP="007E700A">
      <w:r>
        <w:t>Visualisation will take the form of a semi-transparent shadow projected away from the current nodule location.</w:t>
      </w:r>
    </w:p>
    <w:p w14:paraId="1D5B865A" w14:textId="77777777" w:rsidR="007E700A" w:rsidRDefault="007E700A" w:rsidP="007E700A">
      <w:r>
        <w:t>3.4 Multi-Scale Interpretability and Visualization</w:t>
      </w:r>
    </w:p>
    <w:p w14:paraId="5B3DF7A5" w14:textId="77777777" w:rsidR="007E700A" w:rsidRDefault="007E700A" w:rsidP="007E700A">
      <w:r>
        <w:t>3.4.1 Confidence-Based Decision Support</w:t>
      </w:r>
    </w:p>
    <w:p w14:paraId="735263AF" w14:textId="77777777" w:rsidR="007E700A" w:rsidRDefault="007E700A" w:rsidP="007E700A">
      <w:r>
        <w:t>A visual decision support system will be implemented in conjunction with deep learning. The following colours will be used as indicators of the amount of certainty (i.e., confidence) associated with the prediction of a nodule as either benign or malignant:</w:t>
      </w:r>
    </w:p>
    <w:p w14:paraId="3AC71C3F" w14:textId="77777777" w:rsidR="007E700A" w:rsidRDefault="007E700A" w:rsidP="007E700A">
      <w:r>
        <w:t>•</w:t>
      </w:r>
      <w:r>
        <w:tab/>
        <w:t>Green - low-probability (benign): less than 30% probability</w:t>
      </w:r>
    </w:p>
    <w:p w14:paraId="0393777B" w14:textId="77777777" w:rsidR="007E700A" w:rsidRDefault="007E700A" w:rsidP="007E700A">
      <w:r>
        <w:t>•</w:t>
      </w:r>
      <w:r>
        <w:tab/>
        <w:t>Yellow - moderate uncertainty (to be reviewed): 30 to 70% probability</w:t>
      </w:r>
    </w:p>
    <w:p w14:paraId="4B5B4DF3" w14:textId="77777777" w:rsidR="007E700A" w:rsidRDefault="007E700A" w:rsidP="007E700A">
      <w:r>
        <w:lastRenderedPageBreak/>
        <w:t>•</w:t>
      </w:r>
      <w:r>
        <w:tab/>
        <w:t>Red - high-probability (malignant): greater than 70% probability</w:t>
      </w:r>
    </w:p>
    <w:p w14:paraId="08CA39D3" w14:textId="77777777" w:rsidR="007E700A" w:rsidRDefault="007E700A" w:rsidP="007E700A">
      <w:r>
        <w:t>These indicators will be displayed as coloured borders around each detected nodule within the interface.</w:t>
      </w:r>
    </w:p>
    <w:p w14:paraId="5118FF43" w14:textId="77777777" w:rsidR="007E700A" w:rsidRDefault="007E700A" w:rsidP="007E700A">
      <w:r>
        <w:t>3.4.2 Pixel-Level Interpretability (PLI)</w:t>
      </w:r>
    </w:p>
    <w:p w14:paraId="1A7225FB" w14:textId="47057C3D" w:rsidR="007E700A" w:rsidRDefault="007E700A" w:rsidP="007E700A">
      <w:r>
        <w:t>Pixel-level interpretability will be achieved through methods such as Grad-CAM++. When a radiologist selects a slice (i.e., image) of a lung nodule as having a high risk of malignancy, the software will highlight the relevant pixels to the prediction by drawing attention to specific features of the nodule (e.g., spiculated edges or irregular texture), thus providing a correlation between the artificial intelligence (AI) and the clinical features.</w:t>
      </w:r>
    </w:p>
    <w:p w14:paraId="5F7B20D7" w14:textId="56280FA8" w:rsidR="00C204B2" w:rsidRDefault="00C204B2" w:rsidP="00C204B2">
      <w:r>
        <w:t xml:space="preserve">3.5 </w:t>
      </w:r>
      <w:proofErr w:type="spellStart"/>
      <w:r>
        <w:t>Performace</w:t>
      </w:r>
      <w:proofErr w:type="spellEnd"/>
      <w:r>
        <w:t xml:space="preserve"> Metrics: </w:t>
      </w:r>
    </w:p>
    <w:p w14:paraId="11A7AFED" w14:textId="30E4EE88" w:rsidR="00C204B2" w:rsidRDefault="00C204B2" w:rsidP="00C204B2">
      <w:r>
        <w:t xml:space="preserve">3.5.1 </w:t>
      </w:r>
      <w:r>
        <w:t>Segmentation performance metrics will include the Dice Similarity Coefficient (DSC) and the Intersection over Union (</w:t>
      </w:r>
      <w:proofErr w:type="spellStart"/>
      <w:r>
        <w:t>IoU</w:t>
      </w:r>
      <w:proofErr w:type="spellEnd"/>
      <w:r>
        <w:t xml:space="preserve">). </w:t>
      </w:r>
    </w:p>
    <w:p w14:paraId="6914C613" w14:textId="77777777" w:rsidR="00C204B2" w:rsidRDefault="00C204B2" w:rsidP="00C204B2">
      <w:r>
        <w:t xml:space="preserve">Classification performance metrics will include accuracy, sensitivity, specificity, and AUC-ROC. </w:t>
      </w:r>
    </w:p>
    <w:p w14:paraId="5CFFC2D5" w14:textId="77777777" w:rsidR="00C204B2" w:rsidRDefault="00C204B2" w:rsidP="00C204B2">
      <w:r>
        <w:t xml:space="preserve">Mean Squared Error (MSE) will be used to conduct trend analysis for risk, as compared to expert slice-level annotations (if available). </w:t>
      </w:r>
    </w:p>
    <w:p w14:paraId="5AE24FDA" w14:textId="695DF03D" w:rsidR="00C204B2" w:rsidRDefault="00C204B2" w:rsidP="00C204B2">
      <w:r>
        <w:t xml:space="preserve">3.5.2 </w:t>
      </w:r>
      <w:r>
        <w:t xml:space="preserve">Validation of Interpretability: </w:t>
      </w:r>
    </w:p>
    <w:p w14:paraId="371E3C4E" w14:textId="77777777" w:rsidR="00C204B2" w:rsidRDefault="00C204B2" w:rsidP="00C204B2">
      <w:r>
        <w:t xml:space="preserve">Qualitative validation will include comparing Grad-CAM maps against the annotations provided by a radiologist. </w:t>
      </w:r>
    </w:p>
    <w:p w14:paraId="1DFC5B92" w14:textId="77777777" w:rsidR="00C204B2" w:rsidRDefault="00C204B2" w:rsidP="00C204B2">
      <w:r>
        <w:t xml:space="preserve">An ablation study will compare the performance of the sequential slice-level module to determine if there is an increase in predictive accuracy. </w:t>
      </w:r>
    </w:p>
    <w:p w14:paraId="7551C4B5" w14:textId="759FA420" w:rsidR="00C204B2" w:rsidRDefault="00C204B2" w:rsidP="00C204B2">
      <w:r>
        <w:t xml:space="preserve">3.6 </w:t>
      </w:r>
      <w:r>
        <w:t xml:space="preserve">Tools and Technologies: </w:t>
      </w:r>
    </w:p>
    <w:p w14:paraId="5CF43755" w14:textId="77777777" w:rsidR="00C204B2" w:rsidRDefault="00C204B2" w:rsidP="00C204B2">
      <w:r>
        <w:t xml:space="preserve">Python will be the programming language to be used. </w:t>
      </w:r>
    </w:p>
    <w:p w14:paraId="1FFBA128" w14:textId="77777777" w:rsidR="00C204B2" w:rsidRDefault="00C204B2" w:rsidP="00C204B2">
      <w:r>
        <w:t xml:space="preserve">The Deep Learning framework will be either </w:t>
      </w:r>
      <w:proofErr w:type="spellStart"/>
      <w:r>
        <w:t>Tensorflow</w:t>
      </w:r>
      <w:proofErr w:type="spellEnd"/>
      <w:r>
        <w:t>/</w:t>
      </w:r>
      <w:proofErr w:type="spellStart"/>
      <w:r>
        <w:t>Keras</w:t>
      </w:r>
      <w:proofErr w:type="spellEnd"/>
      <w:r>
        <w:t xml:space="preserve"> or </w:t>
      </w:r>
      <w:proofErr w:type="spellStart"/>
      <w:r>
        <w:t>Pytorch</w:t>
      </w:r>
      <w:proofErr w:type="spellEnd"/>
      <w:r>
        <w:t xml:space="preserve">. </w:t>
      </w:r>
    </w:p>
    <w:p w14:paraId="136236E1" w14:textId="77777777" w:rsidR="00C204B2" w:rsidRDefault="00C204B2" w:rsidP="00C204B2">
      <w:r>
        <w:t xml:space="preserve">Library and frameworks for image processing will include </w:t>
      </w:r>
      <w:proofErr w:type="spellStart"/>
      <w:r>
        <w:t>SimpleITK</w:t>
      </w:r>
      <w:proofErr w:type="spellEnd"/>
      <w:r>
        <w:t xml:space="preserve">, OpenCV, and NumPy. </w:t>
      </w:r>
    </w:p>
    <w:p w14:paraId="678F986D" w14:textId="314612F5" w:rsidR="00C204B2" w:rsidRDefault="00C204B2" w:rsidP="00C204B2">
      <w:r>
        <w:t>Front End (App)</w:t>
      </w:r>
    </w:p>
    <w:p w14:paraId="065CF1B5" w14:textId="3FF190A0" w:rsidR="00C204B2" w:rsidRDefault="00C204B2" w:rsidP="00C204B2">
      <w:r>
        <w:t>Language: Flutter (Dart)</w:t>
      </w:r>
    </w:p>
    <w:p w14:paraId="4BD15F9C" w14:textId="5D026535" w:rsidR="00C204B2" w:rsidRDefault="00C204B2" w:rsidP="00C204B2">
      <w:r>
        <w:t>Use: Created the cross-platform "Radiologist Dashboard", which has a highly detailed/responsive user interface.</w:t>
      </w:r>
    </w:p>
    <w:p w14:paraId="5194B178" w14:textId="2CABFC7F" w:rsidR="00C204B2" w:rsidRDefault="00C204B2" w:rsidP="00C204B2">
      <w:r>
        <w:lastRenderedPageBreak/>
        <w:t xml:space="preserve">State Management: Either Provider or </w:t>
      </w:r>
      <w:proofErr w:type="spellStart"/>
      <w:r>
        <w:t>Riverpod</w:t>
      </w:r>
      <w:proofErr w:type="spellEnd"/>
      <w:r>
        <w:t>, depending on how we want to manage the state of our loaded scans and risk overlays.</w:t>
      </w:r>
    </w:p>
    <w:p w14:paraId="6FD5E5E7" w14:textId="128FAB51" w:rsidR="00C204B2" w:rsidRDefault="00C204B2" w:rsidP="00C204B2">
      <w:r>
        <w:t>Back End (AI Engine)</w:t>
      </w:r>
    </w:p>
    <w:p w14:paraId="1F07BEB4" w14:textId="6E5373D5" w:rsidR="00C204B2" w:rsidRDefault="00C204B2" w:rsidP="00C204B2">
      <w:r>
        <w:t>Language: Python</w:t>
      </w:r>
    </w:p>
    <w:p w14:paraId="348AA886" w14:textId="5198CF3F" w:rsidR="00C204B2" w:rsidRDefault="00C204B2" w:rsidP="00C204B2">
      <w:r>
        <w:t xml:space="preserve">API Framework: </w:t>
      </w:r>
      <w:proofErr w:type="spellStart"/>
      <w:r>
        <w:t>FastAPI</w:t>
      </w:r>
      <w:proofErr w:type="spellEnd"/>
      <w:r>
        <w:t xml:space="preserve"> or Flask, to develop a REST API that receives CT images from the Flutter application and returns the predictions and heatmaps of risk.</w:t>
      </w:r>
    </w:p>
    <w:p w14:paraId="2303C9E0" w14:textId="466FFF0F" w:rsidR="00C204B2" w:rsidRDefault="00C204B2" w:rsidP="00C204B2">
      <w:r>
        <w:t xml:space="preserve">DL Framework: either </w:t>
      </w:r>
      <w:proofErr w:type="spellStart"/>
      <w:r>
        <w:t>Pytorch</w:t>
      </w:r>
      <w:proofErr w:type="spellEnd"/>
      <w:r>
        <w:t xml:space="preserve"> or TensorFlow/</w:t>
      </w:r>
      <w:proofErr w:type="spellStart"/>
      <w:r>
        <w:t>Keras</w:t>
      </w:r>
      <w:proofErr w:type="spellEnd"/>
      <w:r>
        <w:t>.</w:t>
      </w:r>
    </w:p>
    <w:p w14:paraId="39E003D2" w14:textId="77777777" w:rsidR="00C204B2" w:rsidRDefault="00C204B2" w:rsidP="00C204B2">
      <w:r>
        <w:t xml:space="preserve">Visualization libraries to be used are Matplotlib, </w:t>
      </w:r>
      <w:proofErr w:type="spellStart"/>
      <w:r>
        <w:t>Tkinter</w:t>
      </w:r>
      <w:proofErr w:type="spellEnd"/>
      <w:r>
        <w:t xml:space="preserve">, or </w:t>
      </w:r>
      <w:proofErr w:type="spellStart"/>
      <w:r>
        <w:t>PyQt</w:t>
      </w:r>
      <w:proofErr w:type="spellEnd"/>
      <w:r>
        <w:t xml:space="preserve">. </w:t>
      </w:r>
    </w:p>
    <w:p w14:paraId="1A13C8F5" w14:textId="61FF5DF6" w:rsidR="00C204B2" w:rsidRDefault="00C204B2" w:rsidP="00C204B2">
      <w:r>
        <w:t xml:space="preserve">Hardware utilized will be either a NVIDIA RTX GPU or Google </w:t>
      </w:r>
      <w:proofErr w:type="spellStart"/>
      <w:r>
        <w:t>Colab</w:t>
      </w:r>
      <w:proofErr w:type="spellEnd"/>
      <w:r>
        <w:t xml:space="preserve"> Pro.</w:t>
      </w:r>
    </w:p>
    <w:p w14:paraId="12B2733E" w14:textId="77777777" w:rsidR="00C204B2" w:rsidRDefault="00C204B2" w:rsidP="00C204B2">
      <w:r>
        <w:t xml:space="preserve">3.7 Application Design: The Radiologist Decision Support Dashboard  </w:t>
      </w:r>
    </w:p>
    <w:p w14:paraId="701A7EA9" w14:textId="09FFFC47" w:rsidR="00C204B2" w:rsidRDefault="00C204B2" w:rsidP="00C204B2">
      <w:r>
        <w:t>To turn the deep learning model's predictions into actionable insights, we will create a Flutter-based graphical user interface (GUI). This application uses a client-server model to connect the high-performance UI features of Flutter with the computing power of the Python-based AI model.</w:t>
      </w:r>
    </w:p>
    <w:p w14:paraId="437A0C7C" w14:textId="77777777" w:rsidR="00C204B2" w:rsidRDefault="00C204B2" w:rsidP="00C204B2">
      <w:r>
        <w:t xml:space="preserve">3.7.1 System Architecture (Client-Server)  </w:t>
      </w:r>
    </w:p>
    <w:p w14:paraId="299D3823" w14:textId="243E6D9E" w:rsidR="00C204B2" w:rsidRDefault="00C204B2" w:rsidP="00C204B2">
      <w:r>
        <w:t>The system has two distinct layers:</w:t>
      </w:r>
    </w:p>
    <w:p w14:paraId="26FC8A09" w14:textId="0A240E1F" w:rsidR="00C204B2" w:rsidRDefault="00C204B2" w:rsidP="00C204B2">
      <w:r>
        <w:t>The Client (Flutter App): This is the presentation layer. It manages user interactions, displays DICOM/images, and shows color-coded risk overlays. It sends image data to the backend using HTTP/REST requests.</w:t>
      </w:r>
    </w:p>
    <w:p w14:paraId="0CD97D29" w14:textId="3A23CAB3" w:rsidR="00C204B2" w:rsidRDefault="00C204B2" w:rsidP="00C204B2">
      <w:r>
        <w:t xml:space="preserve">The Server (Python API): This is a lightweight </w:t>
      </w:r>
      <w:proofErr w:type="spellStart"/>
      <w:r>
        <w:t>FastAPI</w:t>
      </w:r>
      <w:proofErr w:type="spellEnd"/>
      <w:r>
        <w:t>/Flask server that runs the trained deep learning model. It receives the images, performs segmentation and risk analysis, and sends the results (risk scores, bounding box coordinates, and heatmap images) back to the Flutter app in JSON format.</w:t>
      </w:r>
    </w:p>
    <w:p w14:paraId="0EA3486B" w14:textId="77777777" w:rsidR="00C204B2" w:rsidRDefault="00C204B2" w:rsidP="00C204B2">
      <w:r>
        <w:t xml:space="preserve">3.7.2 User Interface (UI) Features  </w:t>
      </w:r>
    </w:p>
    <w:p w14:paraId="7A01E52F" w14:textId="2D769AF7" w:rsidR="00C204B2" w:rsidRDefault="00C204B2" w:rsidP="00C204B2">
      <w:r>
        <w:t>The Flutter framework provides a "Material Design" interface that supports clinical workflows:</w:t>
      </w:r>
    </w:p>
    <w:p w14:paraId="7558FB17" w14:textId="1343DCB4" w:rsidR="00C204B2" w:rsidRDefault="00C204B2" w:rsidP="00C204B2">
      <w:r>
        <w:t>Interactive Slice Viewer: A smooth, scrollable viewer where radiologists can navigate through 3D CT volumes.</w:t>
      </w:r>
    </w:p>
    <w:p w14:paraId="7767FCF8" w14:textId="32EB9870" w:rsidR="00C204B2" w:rsidRDefault="00C204B2" w:rsidP="00C204B2">
      <w:r>
        <w:t>Real-Time API Integration: As the user loads a scan, the app fetches risk data from the Python backend in real time, displaying a "Processing..." indicator to set user expectations.</w:t>
      </w:r>
    </w:p>
    <w:p w14:paraId="78D3CCA1" w14:textId="36CB5E40" w:rsidR="00C204B2" w:rsidRDefault="00C204B2" w:rsidP="00C204B2">
      <w:r>
        <w:t>Confidence-Aware Overlays:</w:t>
      </w:r>
    </w:p>
    <w:p w14:paraId="67E9BF76" w14:textId="62BAE40B" w:rsidR="00C204B2" w:rsidRDefault="00C204B2" w:rsidP="00C204B2">
      <w:r>
        <w:lastRenderedPageBreak/>
        <w:t>Green Border: Benign/Safe (Low Risk)</w:t>
      </w:r>
    </w:p>
    <w:p w14:paraId="2C6891D5" w14:textId="3CB40F47" w:rsidR="00C204B2" w:rsidRDefault="00C204B2" w:rsidP="00C204B2">
      <w:r>
        <w:t>Yellow Border: Uncertain (Needs Manual Review)</w:t>
      </w:r>
    </w:p>
    <w:p w14:paraId="5FB7E046" w14:textId="3AED4D1C" w:rsidR="00C204B2" w:rsidRDefault="00C204B2" w:rsidP="00C204B2">
      <w:r>
        <w:t>Red Border: Malignant (High Risk)</w:t>
      </w:r>
    </w:p>
    <w:p w14:paraId="2E4D3FA1" w14:textId="2C23BF10" w:rsidR="00C204B2" w:rsidRPr="007E700A" w:rsidRDefault="00C204B2" w:rsidP="00C204B2">
      <w:r>
        <w:t>Interpretability Toggles: A floating action button (FAB) that, when clicked, requests the specific Grad-CAM heatmap from the server for the currently visible slice.</w:t>
      </w:r>
    </w:p>
    <w:sectPr w:rsidR="00C204B2" w:rsidRPr="007E7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70F4F"/>
    <w:multiLevelType w:val="multilevel"/>
    <w:tmpl w:val="EF08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4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42"/>
    <w:rsid w:val="00061019"/>
    <w:rsid w:val="002B4025"/>
    <w:rsid w:val="004711F1"/>
    <w:rsid w:val="006F4801"/>
    <w:rsid w:val="00725D1D"/>
    <w:rsid w:val="007E700A"/>
    <w:rsid w:val="008D2CA8"/>
    <w:rsid w:val="00C204B2"/>
    <w:rsid w:val="00F9154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06C9"/>
  <w15:chartTrackingRefBased/>
  <w15:docId w15:val="{3E050538-A3EA-4829-B236-BAFD9A47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542"/>
    <w:rPr>
      <w:rFonts w:eastAsiaTheme="majorEastAsia" w:cstheme="majorBidi"/>
      <w:color w:val="272727" w:themeColor="text1" w:themeTint="D8"/>
    </w:rPr>
  </w:style>
  <w:style w:type="paragraph" w:styleId="Title">
    <w:name w:val="Title"/>
    <w:basedOn w:val="Normal"/>
    <w:next w:val="Normal"/>
    <w:link w:val="TitleChar"/>
    <w:uiPriority w:val="10"/>
    <w:qFormat/>
    <w:rsid w:val="00F9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542"/>
    <w:pPr>
      <w:spacing w:before="160"/>
      <w:jc w:val="center"/>
    </w:pPr>
    <w:rPr>
      <w:i/>
      <w:iCs/>
      <w:color w:val="404040" w:themeColor="text1" w:themeTint="BF"/>
    </w:rPr>
  </w:style>
  <w:style w:type="character" w:customStyle="1" w:styleId="QuoteChar">
    <w:name w:val="Quote Char"/>
    <w:basedOn w:val="DefaultParagraphFont"/>
    <w:link w:val="Quote"/>
    <w:uiPriority w:val="29"/>
    <w:rsid w:val="00F91542"/>
    <w:rPr>
      <w:i/>
      <w:iCs/>
      <w:color w:val="404040" w:themeColor="text1" w:themeTint="BF"/>
    </w:rPr>
  </w:style>
  <w:style w:type="paragraph" w:styleId="ListParagraph">
    <w:name w:val="List Paragraph"/>
    <w:basedOn w:val="Normal"/>
    <w:uiPriority w:val="34"/>
    <w:qFormat/>
    <w:rsid w:val="00F91542"/>
    <w:pPr>
      <w:ind w:left="720"/>
      <w:contextualSpacing/>
    </w:pPr>
  </w:style>
  <w:style w:type="character" w:styleId="IntenseEmphasis">
    <w:name w:val="Intense Emphasis"/>
    <w:basedOn w:val="DefaultParagraphFont"/>
    <w:uiPriority w:val="21"/>
    <w:qFormat/>
    <w:rsid w:val="00F91542"/>
    <w:rPr>
      <w:i/>
      <w:iCs/>
      <w:color w:val="0F4761" w:themeColor="accent1" w:themeShade="BF"/>
    </w:rPr>
  </w:style>
  <w:style w:type="paragraph" w:styleId="IntenseQuote">
    <w:name w:val="Intense Quote"/>
    <w:basedOn w:val="Normal"/>
    <w:next w:val="Normal"/>
    <w:link w:val="IntenseQuoteChar"/>
    <w:uiPriority w:val="30"/>
    <w:qFormat/>
    <w:rsid w:val="00F9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542"/>
    <w:rPr>
      <w:i/>
      <w:iCs/>
      <w:color w:val="0F4761" w:themeColor="accent1" w:themeShade="BF"/>
    </w:rPr>
  </w:style>
  <w:style w:type="character" w:styleId="IntenseReference">
    <w:name w:val="Intense Reference"/>
    <w:basedOn w:val="DefaultParagraphFont"/>
    <w:uiPriority w:val="32"/>
    <w:qFormat/>
    <w:rsid w:val="00F9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1402</Words>
  <Characters>8361</Characters>
  <Application>Microsoft Office Word</Application>
  <DocSecurity>0</DocSecurity>
  <Lines>128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03-134231-005</dc:creator>
  <cp:keywords/>
  <dc:description/>
  <cp:lastModifiedBy>03-134231-005</cp:lastModifiedBy>
  <cp:revision>3</cp:revision>
  <dcterms:created xsi:type="dcterms:W3CDTF">2026-02-11T10:37:00Z</dcterms:created>
  <dcterms:modified xsi:type="dcterms:W3CDTF">2026-02-11T11:30:00Z</dcterms:modified>
</cp:coreProperties>
</file>