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2DA7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Here’s a </w:t>
      </w:r>
      <w:r w:rsidRPr="00410301">
        <w:rPr>
          <w:b/>
          <w:bCs/>
          <w:lang w:val="en-PK"/>
        </w:rPr>
        <w:t>clear and concise summary</w:t>
      </w:r>
      <w:r w:rsidRPr="00410301">
        <w:rPr>
          <w:lang w:val="en-PK"/>
        </w:rPr>
        <w:t xml:space="preserve"> of the article you linked:</w:t>
      </w:r>
    </w:p>
    <w:p w14:paraId="089E5CF4" w14:textId="77777777" w:rsidR="00410301" w:rsidRPr="00410301" w:rsidRDefault="00410301" w:rsidP="00410301">
      <w:pPr>
        <w:rPr>
          <w:lang w:val="en-PK"/>
        </w:rPr>
      </w:pPr>
      <w:r w:rsidRPr="00410301">
        <w:rPr>
          <w:rFonts w:ascii="Segoe UI Emoji" w:hAnsi="Segoe UI Emoji" w:cs="Segoe UI Emoji"/>
          <w:lang w:val="en-PK"/>
        </w:rPr>
        <w:t>🔗</w:t>
      </w:r>
      <w:r w:rsidRPr="00410301">
        <w:rPr>
          <w:lang w:val="en-PK"/>
        </w:rPr>
        <w:t xml:space="preserve"> </w:t>
      </w:r>
      <w:r w:rsidRPr="00410301">
        <w:rPr>
          <w:b/>
          <w:bCs/>
          <w:lang w:val="en-PK"/>
        </w:rPr>
        <w:t>“Machine-Learning-Based Late Fusion on Multi-Omics and Multi-Scale Data for Non-Small-Cell Lung Cancer Diagnosis”</w:t>
      </w:r>
      <w:r w:rsidRPr="00410301">
        <w:rPr>
          <w:lang w:val="en-PK"/>
        </w:rPr>
        <w:br/>
        <w:t xml:space="preserve">Published in </w:t>
      </w:r>
      <w:r w:rsidRPr="00410301">
        <w:rPr>
          <w:i/>
          <w:iCs/>
          <w:lang w:val="en-PK"/>
        </w:rPr>
        <w:t>Journal of Personalized Medicine</w:t>
      </w:r>
      <w:r w:rsidRPr="00410301">
        <w:rPr>
          <w:lang w:val="en-PK"/>
        </w:rPr>
        <w:t xml:space="preserve"> (MDPI, Volume 12, Issue 4, Article 601, 2022). (</w:t>
      </w:r>
      <w:hyperlink r:id="rId5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3E60A4BA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pict w14:anchorId="100FC4C7">
          <v:rect id="_x0000_i1067" style="width:0;height:1.5pt" o:hralign="center" o:hrstd="t" o:hr="t" fillcolor="#a0a0a0" stroked="f"/>
        </w:pict>
      </w:r>
    </w:p>
    <w:p w14:paraId="1C9C543B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rFonts w:ascii="Segoe UI Emoji" w:hAnsi="Segoe UI Emoji" w:cs="Segoe UI Emoji"/>
          <w:b/>
          <w:bCs/>
          <w:lang w:val="en-PK"/>
        </w:rPr>
        <w:t>🧠</w:t>
      </w:r>
      <w:r w:rsidRPr="00410301">
        <w:rPr>
          <w:b/>
          <w:bCs/>
          <w:lang w:val="en-PK"/>
        </w:rPr>
        <w:t xml:space="preserve"> Purpose of the Study</w:t>
      </w:r>
    </w:p>
    <w:p w14:paraId="34581B0C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The article proposes a </w:t>
      </w:r>
      <w:r w:rsidRPr="00410301">
        <w:rPr>
          <w:b/>
          <w:bCs/>
          <w:lang w:val="en-PK"/>
        </w:rPr>
        <w:t>machine learning approach</w:t>
      </w:r>
      <w:r w:rsidRPr="00410301">
        <w:rPr>
          <w:lang w:val="en-PK"/>
        </w:rPr>
        <w:t xml:space="preserve"> that integrates (fuses) </w:t>
      </w:r>
      <w:r w:rsidRPr="00410301">
        <w:rPr>
          <w:b/>
          <w:bCs/>
          <w:lang w:val="en-PK"/>
        </w:rPr>
        <w:t>multiple biological data types</w:t>
      </w:r>
      <w:r w:rsidRPr="00410301">
        <w:rPr>
          <w:lang w:val="en-PK"/>
        </w:rPr>
        <w:t xml:space="preserve"> (multi-omics and imaging) to improve </w:t>
      </w:r>
      <w:r w:rsidRPr="00410301">
        <w:rPr>
          <w:b/>
          <w:bCs/>
          <w:lang w:val="en-PK"/>
        </w:rPr>
        <w:t>diagnosis of non-small-cell lung cancer (NSCLC)</w:t>
      </w:r>
      <w:r w:rsidRPr="00410301">
        <w:rPr>
          <w:lang w:val="en-PK"/>
        </w:rPr>
        <w:t>, specifically distinguishing between:</w:t>
      </w:r>
    </w:p>
    <w:p w14:paraId="33127D5E" w14:textId="77777777" w:rsidR="00410301" w:rsidRPr="00410301" w:rsidRDefault="00410301" w:rsidP="00410301">
      <w:pPr>
        <w:numPr>
          <w:ilvl w:val="0"/>
          <w:numId w:val="1"/>
        </w:numPr>
        <w:rPr>
          <w:lang w:val="en-PK"/>
        </w:rPr>
      </w:pPr>
      <w:r w:rsidRPr="00410301">
        <w:rPr>
          <w:lang w:val="en-PK"/>
        </w:rPr>
        <w:t>Lung adenocarcinoma (LUAD)</w:t>
      </w:r>
    </w:p>
    <w:p w14:paraId="6760491A" w14:textId="77777777" w:rsidR="00410301" w:rsidRPr="00410301" w:rsidRDefault="00410301" w:rsidP="00410301">
      <w:pPr>
        <w:numPr>
          <w:ilvl w:val="0"/>
          <w:numId w:val="1"/>
        </w:numPr>
        <w:rPr>
          <w:lang w:val="en-PK"/>
        </w:rPr>
      </w:pPr>
      <w:r w:rsidRPr="00410301">
        <w:rPr>
          <w:lang w:val="en-PK"/>
        </w:rPr>
        <w:t>Lung squamous cell carcinoma (LUSC)</w:t>
      </w:r>
    </w:p>
    <w:p w14:paraId="73E14EFF" w14:textId="77777777" w:rsidR="00410301" w:rsidRPr="00410301" w:rsidRDefault="00410301" w:rsidP="00410301">
      <w:pPr>
        <w:numPr>
          <w:ilvl w:val="0"/>
          <w:numId w:val="1"/>
        </w:numPr>
        <w:rPr>
          <w:lang w:val="en-PK"/>
        </w:rPr>
      </w:pPr>
      <w:r w:rsidRPr="00410301">
        <w:rPr>
          <w:lang w:val="en-PK"/>
        </w:rPr>
        <w:t>Non-cancer control samples (</w:t>
      </w:r>
      <w:hyperlink r:id="rId6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25A083B3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Traditional approaches often use one data type at a time (e.g., gene expression or image data alone). This study tests whether </w:t>
      </w:r>
      <w:r w:rsidRPr="00410301">
        <w:rPr>
          <w:b/>
          <w:bCs/>
          <w:lang w:val="en-PK"/>
        </w:rPr>
        <w:t>late fusion of diverse data sources</w:t>
      </w:r>
      <w:r w:rsidRPr="00410301">
        <w:rPr>
          <w:lang w:val="en-PK"/>
        </w:rPr>
        <w:t xml:space="preserve"> can be more accurate. (</w:t>
      </w:r>
      <w:hyperlink r:id="rId7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19E935A2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pict w14:anchorId="47FCB293">
          <v:rect id="_x0000_i1068" style="width:0;height:1.5pt" o:hralign="center" o:hrstd="t" o:hr="t" fillcolor="#a0a0a0" stroked="f"/>
        </w:pict>
      </w:r>
    </w:p>
    <w:p w14:paraId="22BB45E5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rFonts w:ascii="Segoe UI Emoji" w:hAnsi="Segoe UI Emoji" w:cs="Segoe UI Emoji"/>
          <w:b/>
          <w:bCs/>
          <w:lang w:val="en-PK"/>
        </w:rPr>
        <w:t>🧬</w:t>
      </w:r>
      <w:r w:rsidRPr="00410301">
        <w:rPr>
          <w:b/>
          <w:bCs/>
          <w:lang w:val="en-PK"/>
        </w:rPr>
        <w:t xml:space="preserve"> Data Modalities Used</w:t>
      </w:r>
    </w:p>
    <w:p w14:paraId="057524F5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The researchers worked with </w:t>
      </w:r>
      <w:r w:rsidRPr="00410301">
        <w:rPr>
          <w:b/>
          <w:bCs/>
          <w:lang w:val="en-PK"/>
        </w:rPr>
        <w:t>five different data types</w:t>
      </w:r>
      <w:r w:rsidRPr="00410301">
        <w:rPr>
          <w:lang w:val="en-PK"/>
        </w:rPr>
        <w:t xml:space="preserve"> for each sample:</w:t>
      </w:r>
    </w:p>
    <w:p w14:paraId="7A177868" w14:textId="77777777" w:rsidR="00410301" w:rsidRPr="00410301" w:rsidRDefault="00410301" w:rsidP="00410301">
      <w:pPr>
        <w:numPr>
          <w:ilvl w:val="0"/>
          <w:numId w:val="2"/>
        </w:numPr>
        <w:rPr>
          <w:lang w:val="en-PK"/>
        </w:rPr>
      </w:pPr>
      <w:r w:rsidRPr="00410301">
        <w:rPr>
          <w:b/>
          <w:bCs/>
          <w:lang w:val="en-PK"/>
        </w:rPr>
        <w:t>RNA-Seq</w:t>
      </w:r>
      <w:r w:rsidRPr="00410301">
        <w:rPr>
          <w:lang w:val="en-PK"/>
        </w:rPr>
        <w:t xml:space="preserve"> (gene expression)</w:t>
      </w:r>
    </w:p>
    <w:p w14:paraId="717330D4" w14:textId="77777777" w:rsidR="00410301" w:rsidRPr="00410301" w:rsidRDefault="00410301" w:rsidP="00410301">
      <w:pPr>
        <w:numPr>
          <w:ilvl w:val="0"/>
          <w:numId w:val="2"/>
        </w:numPr>
        <w:rPr>
          <w:lang w:val="en-PK"/>
        </w:rPr>
      </w:pPr>
      <w:r w:rsidRPr="00410301">
        <w:rPr>
          <w:b/>
          <w:bCs/>
          <w:lang w:val="en-PK"/>
        </w:rPr>
        <w:t>miRNA-Seq</w:t>
      </w:r>
      <w:r w:rsidRPr="00410301">
        <w:rPr>
          <w:lang w:val="en-PK"/>
        </w:rPr>
        <w:t xml:space="preserve"> (micro RNA expression)</w:t>
      </w:r>
    </w:p>
    <w:p w14:paraId="6B252961" w14:textId="77777777" w:rsidR="00410301" w:rsidRPr="00410301" w:rsidRDefault="00410301" w:rsidP="00410301">
      <w:pPr>
        <w:numPr>
          <w:ilvl w:val="0"/>
          <w:numId w:val="2"/>
        </w:numPr>
        <w:rPr>
          <w:lang w:val="en-PK"/>
        </w:rPr>
      </w:pPr>
      <w:r w:rsidRPr="00410301">
        <w:rPr>
          <w:b/>
          <w:bCs/>
          <w:lang w:val="en-PK"/>
        </w:rPr>
        <w:t>Whole-Slide Imaging (WSI)</w:t>
      </w:r>
      <w:r w:rsidRPr="00410301">
        <w:rPr>
          <w:lang w:val="en-PK"/>
        </w:rPr>
        <w:t xml:space="preserve"> (histopathology images)</w:t>
      </w:r>
    </w:p>
    <w:p w14:paraId="0BB14B87" w14:textId="77777777" w:rsidR="00410301" w:rsidRPr="00410301" w:rsidRDefault="00410301" w:rsidP="00410301">
      <w:pPr>
        <w:numPr>
          <w:ilvl w:val="0"/>
          <w:numId w:val="2"/>
        </w:numPr>
        <w:rPr>
          <w:lang w:val="en-PK"/>
        </w:rPr>
      </w:pPr>
      <w:r w:rsidRPr="00410301">
        <w:rPr>
          <w:b/>
          <w:bCs/>
          <w:lang w:val="en-PK"/>
        </w:rPr>
        <w:t>Copy Number Variation (CNV)</w:t>
      </w:r>
    </w:p>
    <w:p w14:paraId="2BAB3311" w14:textId="77777777" w:rsidR="00410301" w:rsidRPr="00410301" w:rsidRDefault="00410301" w:rsidP="00410301">
      <w:pPr>
        <w:numPr>
          <w:ilvl w:val="0"/>
          <w:numId w:val="2"/>
        </w:numPr>
        <w:rPr>
          <w:lang w:val="en-PK"/>
        </w:rPr>
      </w:pPr>
      <w:r w:rsidRPr="00410301">
        <w:rPr>
          <w:b/>
          <w:bCs/>
          <w:lang w:val="en-PK"/>
        </w:rPr>
        <w:t>DNA Methylation (metDNA)</w:t>
      </w:r>
      <w:r w:rsidRPr="00410301">
        <w:rPr>
          <w:lang w:val="en-PK"/>
        </w:rPr>
        <w:t xml:space="preserve"> (</w:t>
      </w:r>
      <w:hyperlink r:id="rId8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61D2CF6B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These data come from public cancer genomic repositories (TCGA) and together represent </w:t>
      </w:r>
      <w:r w:rsidRPr="00410301">
        <w:rPr>
          <w:b/>
          <w:bCs/>
          <w:lang w:val="en-PK"/>
        </w:rPr>
        <w:t>molecular and imaging features</w:t>
      </w:r>
      <w:r w:rsidRPr="00410301">
        <w:rPr>
          <w:lang w:val="en-PK"/>
        </w:rPr>
        <w:t xml:space="preserve"> of tumours. (</w:t>
      </w:r>
      <w:hyperlink r:id="rId9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6F6C1735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pict w14:anchorId="445B98A7">
          <v:rect id="_x0000_i1069" style="width:0;height:1.5pt" o:hralign="center" o:hrstd="t" o:hr="t" fillcolor="#a0a0a0" stroked="f"/>
        </w:pict>
      </w:r>
    </w:p>
    <w:p w14:paraId="20C33634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rFonts w:ascii="Segoe UI Emoji" w:hAnsi="Segoe UI Emoji" w:cs="Segoe UI Emoji"/>
          <w:b/>
          <w:bCs/>
          <w:lang w:val="en-PK"/>
        </w:rPr>
        <w:t>🤖</w:t>
      </w:r>
      <w:r w:rsidRPr="00410301">
        <w:rPr>
          <w:b/>
          <w:bCs/>
          <w:lang w:val="en-PK"/>
        </w:rPr>
        <w:t xml:space="preserve"> Method: Late Fusion Strategy</w:t>
      </w:r>
    </w:p>
    <w:p w14:paraId="7C033CBB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b/>
          <w:bCs/>
          <w:lang w:val="en-PK"/>
        </w:rPr>
        <w:t>What it means</w:t>
      </w:r>
    </w:p>
    <w:p w14:paraId="233DDBF4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Instead of building </w:t>
      </w:r>
      <w:r w:rsidRPr="00410301">
        <w:rPr>
          <w:i/>
          <w:iCs/>
          <w:lang w:val="en-PK"/>
        </w:rPr>
        <w:t>one model for all data</w:t>
      </w:r>
      <w:r w:rsidRPr="00410301">
        <w:rPr>
          <w:lang w:val="en-PK"/>
        </w:rPr>
        <w:t>, the authors:</w:t>
      </w:r>
    </w:p>
    <w:p w14:paraId="172BE999" w14:textId="77777777" w:rsidR="00410301" w:rsidRPr="00410301" w:rsidRDefault="00410301" w:rsidP="00410301">
      <w:pPr>
        <w:numPr>
          <w:ilvl w:val="0"/>
          <w:numId w:val="3"/>
        </w:numPr>
        <w:rPr>
          <w:lang w:val="en-PK"/>
        </w:rPr>
      </w:pPr>
      <w:r w:rsidRPr="00410301">
        <w:rPr>
          <w:lang w:val="en-PK"/>
        </w:rPr>
        <w:lastRenderedPageBreak/>
        <w:t xml:space="preserve">Trained a </w:t>
      </w:r>
      <w:r w:rsidRPr="00410301">
        <w:rPr>
          <w:b/>
          <w:bCs/>
          <w:lang w:val="en-PK"/>
        </w:rPr>
        <w:t>separate classifier for each data modality</w:t>
      </w:r>
      <w:r w:rsidRPr="00410301">
        <w:rPr>
          <w:lang w:val="en-PK"/>
        </w:rPr>
        <w:t xml:space="preserve"> (e.g., one model for image data, another for RNA data, etc.).</w:t>
      </w:r>
    </w:p>
    <w:p w14:paraId="0AAD50C7" w14:textId="77777777" w:rsidR="00410301" w:rsidRPr="00410301" w:rsidRDefault="00410301" w:rsidP="00410301">
      <w:pPr>
        <w:numPr>
          <w:ilvl w:val="0"/>
          <w:numId w:val="3"/>
        </w:numPr>
        <w:rPr>
          <w:lang w:val="en-PK"/>
        </w:rPr>
      </w:pPr>
      <w:r w:rsidRPr="00410301">
        <w:rPr>
          <w:lang w:val="en-PK"/>
        </w:rPr>
        <w:t xml:space="preserve">Combined (fused) these individual predictions at the </w:t>
      </w:r>
      <w:r w:rsidRPr="00410301">
        <w:rPr>
          <w:b/>
          <w:bCs/>
          <w:lang w:val="en-PK"/>
        </w:rPr>
        <w:t>end (late fusion)</w:t>
      </w:r>
      <w:r w:rsidRPr="00410301">
        <w:rPr>
          <w:lang w:val="en-PK"/>
        </w:rPr>
        <w:t xml:space="preserve"> to make a final diagnosis. (</w:t>
      </w:r>
      <w:hyperlink r:id="rId10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36008CA1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b/>
          <w:bCs/>
          <w:lang w:val="en-PK"/>
        </w:rPr>
        <w:t>How fusion works</w:t>
      </w:r>
    </w:p>
    <w:p w14:paraId="4E1FC804" w14:textId="77777777" w:rsidR="00410301" w:rsidRPr="00410301" w:rsidRDefault="00410301" w:rsidP="00410301">
      <w:pPr>
        <w:numPr>
          <w:ilvl w:val="0"/>
          <w:numId w:val="4"/>
        </w:numPr>
        <w:rPr>
          <w:lang w:val="en-PK"/>
        </w:rPr>
      </w:pPr>
      <w:r w:rsidRPr="00410301">
        <w:rPr>
          <w:lang w:val="en-PK"/>
        </w:rPr>
        <w:t xml:space="preserve">Each model outputs </w:t>
      </w:r>
      <w:r w:rsidRPr="00410301">
        <w:rPr>
          <w:b/>
          <w:bCs/>
          <w:lang w:val="en-PK"/>
        </w:rPr>
        <w:t>probabilities</w:t>
      </w:r>
      <w:r w:rsidRPr="00410301">
        <w:rPr>
          <w:lang w:val="en-PK"/>
        </w:rPr>
        <w:t xml:space="preserve"> that a sample belongs to each class (LUAD, LUSC, control).</w:t>
      </w:r>
    </w:p>
    <w:p w14:paraId="34491EE4" w14:textId="77777777" w:rsidR="00410301" w:rsidRPr="00410301" w:rsidRDefault="00410301" w:rsidP="00410301">
      <w:pPr>
        <w:numPr>
          <w:ilvl w:val="0"/>
          <w:numId w:val="4"/>
        </w:numPr>
        <w:rPr>
          <w:lang w:val="en-PK"/>
        </w:rPr>
      </w:pPr>
      <w:r w:rsidRPr="00410301">
        <w:rPr>
          <w:lang w:val="en-PK"/>
        </w:rPr>
        <w:t xml:space="preserve">These probabilities are then combined using a </w:t>
      </w:r>
      <w:r w:rsidRPr="00410301">
        <w:rPr>
          <w:b/>
          <w:bCs/>
          <w:lang w:val="en-PK"/>
        </w:rPr>
        <w:t>weight-optimization method</w:t>
      </w:r>
      <w:r w:rsidRPr="00410301">
        <w:rPr>
          <w:lang w:val="en-PK"/>
        </w:rPr>
        <w:t xml:space="preserve"> learned with a small neural network — the system learns which modality’s predictions matter most for each class. (</w:t>
      </w:r>
      <w:hyperlink r:id="rId11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7432D7B5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>The late fusion setup allows the system to:</w:t>
      </w:r>
      <w:r w:rsidRPr="00410301">
        <w:rPr>
          <w:lang w:val="en-PK"/>
        </w:rPr>
        <w:br/>
      </w:r>
      <w:r w:rsidRPr="00410301">
        <w:rPr>
          <w:rFonts w:ascii="Segoe UI Symbol" w:hAnsi="Segoe UI Symbol" w:cs="Segoe UI Symbol"/>
          <w:lang w:val="en-PK"/>
        </w:rPr>
        <w:t>✔</w:t>
      </w:r>
      <w:r w:rsidRPr="00410301">
        <w:rPr>
          <w:lang w:val="en-PK"/>
        </w:rPr>
        <w:t xml:space="preserve"> handle </w:t>
      </w:r>
      <w:r w:rsidRPr="00410301">
        <w:rPr>
          <w:b/>
          <w:bCs/>
          <w:lang w:val="en-PK"/>
        </w:rPr>
        <w:t>missing data modalities</w:t>
      </w:r>
      <w:r w:rsidRPr="00410301">
        <w:rPr>
          <w:lang w:val="en-PK"/>
        </w:rPr>
        <w:t xml:space="preserve"> (because weights for missing ones become zero)</w:t>
      </w:r>
      <w:r w:rsidRPr="00410301">
        <w:rPr>
          <w:lang w:val="en-PK"/>
        </w:rPr>
        <w:br/>
      </w:r>
      <w:r w:rsidRPr="00410301">
        <w:rPr>
          <w:rFonts w:ascii="Segoe UI Symbol" w:hAnsi="Segoe UI Symbol" w:cs="Segoe UI Symbol"/>
          <w:lang w:val="en-PK"/>
        </w:rPr>
        <w:t>✔</w:t>
      </w:r>
      <w:r w:rsidRPr="00410301">
        <w:rPr>
          <w:lang w:val="en-PK"/>
        </w:rPr>
        <w:t xml:space="preserve"> leverage complementary information from molecular and image data at once. (</w:t>
      </w:r>
      <w:hyperlink r:id="rId12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5D8A3483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pict w14:anchorId="08FC240D">
          <v:rect id="_x0000_i1070" style="width:0;height:1.5pt" o:hralign="center" o:hrstd="t" o:hr="t" fillcolor="#a0a0a0" stroked="f"/>
        </w:pict>
      </w:r>
    </w:p>
    <w:p w14:paraId="1A0D65E0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rFonts w:ascii="Segoe UI Emoji" w:hAnsi="Segoe UI Emoji" w:cs="Segoe UI Emoji"/>
          <w:b/>
          <w:bCs/>
          <w:lang w:val="en-PK"/>
        </w:rPr>
        <w:t>📈</w:t>
      </w:r>
      <w:r w:rsidRPr="00410301">
        <w:rPr>
          <w:b/>
          <w:bCs/>
          <w:lang w:val="en-PK"/>
        </w:rPr>
        <w:t xml:space="preserve"> Main Results</w:t>
      </w:r>
    </w:p>
    <w:p w14:paraId="0F0A0584" w14:textId="77777777" w:rsidR="00410301" w:rsidRPr="00410301" w:rsidRDefault="00410301" w:rsidP="00410301">
      <w:pPr>
        <w:numPr>
          <w:ilvl w:val="0"/>
          <w:numId w:val="5"/>
        </w:numPr>
        <w:rPr>
          <w:lang w:val="en-PK"/>
        </w:rPr>
      </w:pPr>
      <w:r w:rsidRPr="00410301">
        <w:rPr>
          <w:lang w:val="en-PK"/>
        </w:rPr>
        <w:t xml:space="preserve">The </w:t>
      </w:r>
      <w:r w:rsidRPr="00410301">
        <w:rPr>
          <w:b/>
          <w:bCs/>
          <w:lang w:val="en-PK"/>
        </w:rPr>
        <w:t>fusion model that used all five data types outperformed individual classifiers</w:t>
      </w:r>
      <w:r w:rsidRPr="00410301">
        <w:rPr>
          <w:lang w:val="en-PK"/>
        </w:rPr>
        <w:t xml:space="preserve"> based on any single data modality.</w:t>
      </w:r>
    </w:p>
    <w:p w14:paraId="0E8242D7" w14:textId="77777777" w:rsidR="00410301" w:rsidRPr="00410301" w:rsidRDefault="00410301" w:rsidP="00410301">
      <w:pPr>
        <w:numPr>
          <w:ilvl w:val="0"/>
          <w:numId w:val="5"/>
        </w:numPr>
        <w:rPr>
          <w:lang w:val="en-PK"/>
        </w:rPr>
      </w:pPr>
      <w:r w:rsidRPr="00410301">
        <w:rPr>
          <w:lang w:val="en-PK"/>
        </w:rPr>
        <w:t xml:space="preserve">It showed </w:t>
      </w:r>
      <w:r w:rsidRPr="00410301">
        <w:rPr>
          <w:b/>
          <w:bCs/>
          <w:lang w:val="en-PK"/>
        </w:rPr>
        <w:t>higher performance metrics</w:t>
      </w:r>
      <w:r w:rsidRPr="00410301">
        <w:rPr>
          <w:lang w:val="en-PK"/>
        </w:rPr>
        <w:t xml:space="preserve"> (F1 score, AUC, AUPRC), meaning it was better at distinguishing cancer subtypes and controls. (</w:t>
      </w:r>
      <w:hyperlink r:id="rId13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364AFA30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This suggests that </w:t>
      </w:r>
      <w:r w:rsidRPr="00410301">
        <w:rPr>
          <w:b/>
          <w:bCs/>
          <w:lang w:val="en-PK"/>
        </w:rPr>
        <w:t>integrating diverse data sources</w:t>
      </w:r>
      <w:r w:rsidRPr="00410301">
        <w:rPr>
          <w:lang w:val="en-PK"/>
        </w:rPr>
        <w:t xml:space="preserve"> can improve decision support for personalized lung cancer diagnosis. (</w:t>
      </w:r>
      <w:hyperlink r:id="rId14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756CD33C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pict w14:anchorId="4BFFB0FB">
          <v:rect id="_x0000_i1071" style="width:0;height:1.5pt" o:hralign="center" o:hrstd="t" o:hr="t" fillcolor="#a0a0a0" stroked="f"/>
        </w:pict>
      </w:r>
    </w:p>
    <w:p w14:paraId="6AF08FCB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rFonts w:ascii="Segoe UI Emoji" w:hAnsi="Segoe UI Emoji" w:cs="Segoe UI Emoji"/>
          <w:b/>
          <w:bCs/>
          <w:lang w:val="en-PK"/>
        </w:rPr>
        <w:t>🧠</w:t>
      </w:r>
      <w:r w:rsidRPr="00410301">
        <w:rPr>
          <w:b/>
          <w:bCs/>
          <w:lang w:val="en-PK"/>
        </w:rPr>
        <w:t xml:space="preserve"> Why This Is Important</w:t>
      </w:r>
    </w:p>
    <w:p w14:paraId="29C94746" w14:textId="77777777" w:rsidR="00410301" w:rsidRPr="00410301" w:rsidRDefault="00410301" w:rsidP="00410301">
      <w:pPr>
        <w:rPr>
          <w:lang w:val="en-PK"/>
        </w:rPr>
      </w:pPr>
      <w:r w:rsidRPr="00410301">
        <w:rPr>
          <w:rFonts w:ascii="Segoe UI Emoji" w:hAnsi="Segoe UI Emoji" w:cs="Segoe UI Emoji"/>
          <w:lang w:val="en-PK"/>
        </w:rPr>
        <w:t>🔹</w:t>
      </w:r>
      <w:r w:rsidRPr="00410301">
        <w:rPr>
          <w:lang w:val="en-PK"/>
        </w:rPr>
        <w:t xml:space="preserve"> NSCLC includes several subtypes that require different treatments, so accurate subtype classification is clinically valuable. (</w:t>
      </w:r>
      <w:hyperlink r:id="rId15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  <w:r w:rsidRPr="00410301">
        <w:rPr>
          <w:lang w:val="en-PK"/>
        </w:rPr>
        <w:br/>
      </w:r>
      <w:r w:rsidRPr="00410301">
        <w:rPr>
          <w:rFonts w:ascii="Segoe UI Emoji" w:hAnsi="Segoe UI Emoji" w:cs="Segoe UI Emoji"/>
          <w:lang w:val="en-PK"/>
        </w:rPr>
        <w:t>🔹</w:t>
      </w:r>
      <w:r w:rsidRPr="00410301">
        <w:rPr>
          <w:lang w:val="en-PK"/>
        </w:rPr>
        <w:t xml:space="preserve"> Single-modality models (like using only gene expression or only histology) can miss important cross-modal patterns. (</w:t>
      </w:r>
      <w:hyperlink r:id="rId16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  <w:r w:rsidRPr="00410301">
        <w:rPr>
          <w:lang w:val="en-PK"/>
        </w:rPr>
        <w:br/>
      </w:r>
      <w:r w:rsidRPr="00410301">
        <w:rPr>
          <w:rFonts w:ascii="Segoe UI Emoji" w:hAnsi="Segoe UI Emoji" w:cs="Segoe UI Emoji"/>
          <w:lang w:val="en-PK"/>
        </w:rPr>
        <w:t>🔹</w:t>
      </w:r>
      <w:r w:rsidRPr="00410301">
        <w:rPr>
          <w:lang w:val="en-PK"/>
        </w:rPr>
        <w:t xml:space="preserve"> </w:t>
      </w:r>
      <w:r w:rsidRPr="00410301">
        <w:rPr>
          <w:b/>
          <w:bCs/>
          <w:lang w:val="en-PK"/>
        </w:rPr>
        <w:t>Multi-omics and imaging fusion</w:t>
      </w:r>
      <w:r w:rsidRPr="00410301">
        <w:rPr>
          <w:lang w:val="en-PK"/>
        </w:rPr>
        <w:t xml:space="preserve"> leverages a richer biological profile of the tumor, offering more reliable predictions. (</w:t>
      </w:r>
      <w:hyperlink r:id="rId17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29C00AE5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pict w14:anchorId="2B35781C">
          <v:rect id="_x0000_i1072" style="width:0;height:1.5pt" o:hralign="center" o:hrstd="t" o:hr="t" fillcolor="#a0a0a0" stroked="f"/>
        </w:pict>
      </w:r>
    </w:p>
    <w:p w14:paraId="476EAB16" w14:textId="77777777" w:rsidR="00410301" w:rsidRPr="00410301" w:rsidRDefault="00410301" w:rsidP="00410301">
      <w:pPr>
        <w:rPr>
          <w:b/>
          <w:bCs/>
          <w:lang w:val="en-PK"/>
        </w:rPr>
      </w:pPr>
      <w:r w:rsidRPr="00410301">
        <w:rPr>
          <w:rFonts w:ascii="Segoe UI Emoji" w:hAnsi="Segoe UI Emoji" w:cs="Segoe UI Emoji"/>
          <w:b/>
          <w:bCs/>
          <w:lang w:val="en-PK"/>
        </w:rPr>
        <w:t>📌</w:t>
      </w:r>
      <w:r w:rsidRPr="00410301">
        <w:rPr>
          <w:b/>
          <w:bCs/>
          <w:lang w:val="en-PK"/>
        </w:rPr>
        <w:t xml:space="preserve"> Conclusions</w:t>
      </w:r>
    </w:p>
    <w:p w14:paraId="7BA65829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lastRenderedPageBreak/>
        <w:t xml:space="preserve">The study demonstrates that a </w:t>
      </w:r>
      <w:r w:rsidRPr="00410301">
        <w:rPr>
          <w:b/>
          <w:bCs/>
          <w:lang w:val="en-PK"/>
        </w:rPr>
        <w:t>late fusion machine learning framework</w:t>
      </w:r>
      <w:r w:rsidRPr="00410301">
        <w:rPr>
          <w:lang w:val="en-PK"/>
        </w:rPr>
        <w:t xml:space="preserve"> — combining five different biological and imaging data types — </w:t>
      </w:r>
      <w:r w:rsidRPr="00410301">
        <w:rPr>
          <w:b/>
          <w:bCs/>
          <w:lang w:val="en-PK"/>
        </w:rPr>
        <w:t>improves classification performance</w:t>
      </w:r>
      <w:r w:rsidRPr="00410301">
        <w:rPr>
          <w:lang w:val="en-PK"/>
        </w:rPr>
        <w:t xml:space="preserve"> for non-small-cell lung cancer subtypes. This approach supports the idea that </w:t>
      </w:r>
      <w:r w:rsidRPr="00410301">
        <w:rPr>
          <w:b/>
          <w:bCs/>
          <w:lang w:val="en-PK"/>
        </w:rPr>
        <w:t>integrated multi-omics and imaging analytics</w:t>
      </w:r>
      <w:r w:rsidRPr="00410301">
        <w:rPr>
          <w:lang w:val="en-PK"/>
        </w:rPr>
        <w:t xml:space="preserve"> can enhance personalized cancer diagnostics beyond single-modality models. (</w:t>
      </w:r>
      <w:hyperlink r:id="rId18" w:tooltip="Machine-Learning-Based Late Fusion on Multi-Omics and Multi-Scale Data for Non-Small-Cell Lung Cancer Diagnosis | MDPI" w:history="1">
        <w:r w:rsidRPr="00410301">
          <w:rPr>
            <w:rStyle w:val="Hyperlink"/>
            <w:lang w:val="en-PK"/>
          </w:rPr>
          <w:t>MDPI</w:t>
        </w:r>
      </w:hyperlink>
      <w:r w:rsidRPr="00410301">
        <w:rPr>
          <w:lang w:val="en-PK"/>
        </w:rPr>
        <w:t>)</w:t>
      </w:r>
    </w:p>
    <w:p w14:paraId="37910FAF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pict w14:anchorId="3D4D855E">
          <v:rect id="_x0000_i1073" style="width:0;height:1.5pt" o:hralign="center" o:hrstd="t" o:hr="t" fillcolor="#a0a0a0" stroked="f"/>
        </w:pict>
      </w:r>
    </w:p>
    <w:p w14:paraId="531390E7" w14:textId="77777777" w:rsidR="00410301" w:rsidRPr="00410301" w:rsidRDefault="00410301" w:rsidP="00410301">
      <w:pPr>
        <w:rPr>
          <w:lang w:val="en-PK"/>
        </w:rPr>
      </w:pPr>
      <w:r w:rsidRPr="00410301">
        <w:rPr>
          <w:lang w:val="en-PK"/>
        </w:rPr>
        <w:t xml:space="preserve">If you want, I can also explain </w:t>
      </w:r>
      <w:r w:rsidRPr="00410301">
        <w:rPr>
          <w:b/>
          <w:bCs/>
          <w:lang w:val="en-PK"/>
        </w:rPr>
        <w:t>which data modalities contributed most to performance</w:t>
      </w:r>
      <w:r w:rsidRPr="00410301">
        <w:rPr>
          <w:lang w:val="en-PK"/>
        </w:rPr>
        <w:t xml:space="preserve"> or provide the </w:t>
      </w:r>
      <w:r w:rsidRPr="00410301">
        <w:rPr>
          <w:b/>
          <w:bCs/>
          <w:lang w:val="en-PK"/>
        </w:rPr>
        <w:t>full performance metrics</w:t>
      </w:r>
      <w:r w:rsidRPr="00410301">
        <w:rPr>
          <w:lang w:val="en-PK"/>
        </w:rPr>
        <w:t xml:space="preserve"> from the paper.</w:t>
      </w:r>
    </w:p>
    <w:p w14:paraId="6A191D94" w14:textId="77777777" w:rsidR="002B4025" w:rsidRPr="00410301" w:rsidRDefault="002B4025" w:rsidP="00410301"/>
    <w:sectPr w:rsidR="002B4025" w:rsidRPr="00410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3E82"/>
    <w:multiLevelType w:val="multilevel"/>
    <w:tmpl w:val="70B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B62BA"/>
    <w:multiLevelType w:val="multilevel"/>
    <w:tmpl w:val="881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1147"/>
    <w:multiLevelType w:val="multilevel"/>
    <w:tmpl w:val="0E32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455AD"/>
    <w:multiLevelType w:val="multilevel"/>
    <w:tmpl w:val="0BD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92CB1"/>
    <w:multiLevelType w:val="multilevel"/>
    <w:tmpl w:val="9E70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839692">
    <w:abstractNumId w:val="1"/>
  </w:num>
  <w:num w:numId="2" w16cid:durableId="2029208133">
    <w:abstractNumId w:val="4"/>
  </w:num>
  <w:num w:numId="3" w16cid:durableId="155196375">
    <w:abstractNumId w:val="2"/>
  </w:num>
  <w:num w:numId="4" w16cid:durableId="1953585054">
    <w:abstractNumId w:val="3"/>
  </w:num>
  <w:num w:numId="5" w16cid:durableId="145190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4C"/>
    <w:rsid w:val="00061019"/>
    <w:rsid w:val="002B4025"/>
    <w:rsid w:val="00410301"/>
    <w:rsid w:val="004711F1"/>
    <w:rsid w:val="007C42B6"/>
    <w:rsid w:val="008F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2A576-FD09-41DA-A346-4DC166A2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5-4426/12/4/601" TargetMode="External"/><Relationship Id="rId13" Type="http://schemas.openxmlformats.org/officeDocument/2006/relationships/hyperlink" Target="https://www.mdpi.com/2075-4426/12/4/601" TargetMode="External"/><Relationship Id="rId18" Type="http://schemas.openxmlformats.org/officeDocument/2006/relationships/hyperlink" Target="https://www.mdpi.com/2075-4426/12/4/6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5-4426/12/4/601" TargetMode="External"/><Relationship Id="rId12" Type="http://schemas.openxmlformats.org/officeDocument/2006/relationships/hyperlink" Target="https://www.mdpi.com/2075-4426/12/4/601" TargetMode="External"/><Relationship Id="rId17" Type="http://schemas.openxmlformats.org/officeDocument/2006/relationships/hyperlink" Target="https://www.mdpi.com/2075-4426/12/4/6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2075-4426/12/4/60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5-4426/12/4/601" TargetMode="External"/><Relationship Id="rId11" Type="http://schemas.openxmlformats.org/officeDocument/2006/relationships/hyperlink" Target="https://www.mdpi.com/2075-4426/12/4/601" TargetMode="External"/><Relationship Id="rId5" Type="http://schemas.openxmlformats.org/officeDocument/2006/relationships/hyperlink" Target="https://www.mdpi.com/2075-4426/12/4/601" TargetMode="External"/><Relationship Id="rId15" Type="http://schemas.openxmlformats.org/officeDocument/2006/relationships/hyperlink" Target="https://www.mdpi.com/2075-4426/12/4/601" TargetMode="External"/><Relationship Id="rId10" Type="http://schemas.openxmlformats.org/officeDocument/2006/relationships/hyperlink" Target="https://www.mdpi.com/2075-4426/12/4/60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5-4426/12/4/601" TargetMode="External"/><Relationship Id="rId14" Type="http://schemas.openxmlformats.org/officeDocument/2006/relationships/hyperlink" Target="https://www.mdpi.com/2075-4426/12/4/6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2026-01-28T23:16:00Z</dcterms:created>
  <dcterms:modified xsi:type="dcterms:W3CDTF">2026-01-28T23:16:00Z</dcterms:modified>
</cp:coreProperties>
</file>